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35CC1">
      <w:pPr>
        <w:spacing w:after="0"/>
      </w:pPr>
    </w:p>
    <w:p w14:paraId="503F425A">
      <w:pPr>
        <w:spacing w:after="0"/>
      </w:pPr>
    </w:p>
    <w:p w14:paraId="0563DCD3">
      <w:pPr>
        <w:spacing w:after="0"/>
      </w:pPr>
    </w:p>
    <w:p w14:paraId="0CE91465">
      <w:pPr>
        <w:spacing w:after="0"/>
      </w:pPr>
    </w:p>
    <w:p w14:paraId="3F6D49D2">
      <w:pPr>
        <w:spacing w:after="0"/>
      </w:pPr>
    </w:p>
    <w:p w14:paraId="06D4325B">
      <w:pPr>
        <w:spacing w:before="0" w:after="160" w:line="360" w:lineRule="auto"/>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b/>
          <w:color w:val="000000"/>
          <w:sz w:val="44"/>
        </w:rPr>
        <w:t>2026年</w:t>
      </w:r>
      <w:r>
        <w:rPr>
          <w:rFonts w:hint="eastAsia" w:ascii="方正小标宋简体" w:hAnsi="方正小标宋简体" w:eastAsia="方正小标宋简体" w:cs="方正小标宋简体"/>
          <w:b/>
          <w:color w:val="000000"/>
          <w:sz w:val="44"/>
          <w:lang w:val="en-US" w:eastAsia="zh-CN"/>
        </w:rPr>
        <w:t>赣州市</w:t>
      </w:r>
      <w:r>
        <w:rPr>
          <w:rFonts w:hint="eastAsia" w:ascii="方正小标宋简体" w:hAnsi="方正小标宋简体" w:eastAsia="方正小标宋简体" w:cs="方正小标宋简体"/>
          <w:b/>
          <w:color w:val="000000"/>
          <w:sz w:val="44"/>
        </w:rPr>
        <w:t>中医适宜技术惠民项目</w:t>
      </w:r>
    </w:p>
    <w:p w14:paraId="44C0E20C">
      <w:pPr>
        <w:spacing w:before="0" w:after="160" w:line="360" w:lineRule="auto"/>
        <w:jc w:val="center"/>
        <w:rPr>
          <w:rFonts w:hint="eastAsia"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b/>
          <w:color w:val="000000"/>
          <w:sz w:val="44"/>
        </w:rPr>
        <w:t>骨干线上培</w:t>
      </w:r>
      <w:r>
        <w:rPr>
          <w:rFonts w:hint="eastAsia" w:ascii="方正小标宋简体" w:hAnsi="方正小标宋简体" w:eastAsia="方正小标宋简体" w:cs="方正小标宋简体"/>
          <w:b/>
          <w:color w:val="000000"/>
          <w:sz w:val="44"/>
          <w:lang w:val="en-US" w:eastAsia="zh-CN"/>
        </w:rPr>
        <w:t>训</w:t>
      </w:r>
      <w:r>
        <w:rPr>
          <w:rFonts w:hint="eastAsia" w:ascii="方正小标宋简体" w:hAnsi="方正小标宋简体" w:eastAsia="方正小标宋简体" w:cs="方正小标宋简体"/>
          <w:b/>
          <w:color w:val="000000"/>
          <w:sz w:val="44"/>
          <w:lang w:val="en-US" w:eastAsia="zh-CN"/>
        </w:rPr>
        <w:t>系统采购需求</w:t>
      </w:r>
    </w:p>
    <w:p w14:paraId="28D5E079">
      <w:pPr>
        <w:spacing w:after="0"/>
      </w:pPr>
    </w:p>
    <w:p w14:paraId="78F6351F">
      <w:pPr>
        <w:spacing w:after="0"/>
      </w:pPr>
    </w:p>
    <w:p w14:paraId="7140167B">
      <w:pPr>
        <w:spacing w:after="0"/>
      </w:pPr>
    </w:p>
    <w:p w14:paraId="612ACB5F">
      <w:pPr>
        <w:spacing w:after="0"/>
      </w:pPr>
    </w:p>
    <w:p w14:paraId="2B37ECD9">
      <w:pPr>
        <w:spacing w:after="0"/>
      </w:pPr>
    </w:p>
    <w:p w14:paraId="7DC7B5E7">
      <w:pPr>
        <w:spacing w:after="0"/>
      </w:pPr>
    </w:p>
    <w:p w14:paraId="2D076010">
      <w:pPr>
        <w:spacing w:after="0"/>
      </w:pPr>
    </w:p>
    <w:p w14:paraId="6A049664">
      <w:pPr>
        <w:spacing w:after="0"/>
      </w:pPr>
    </w:p>
    <w:p w14:paraId="16EAEB9B">
      <w:pPr>
        <w:spacing w:after="120"/>
        <w:jc w:val="center"/>
      </w:pPr>
      <w:r>
        <w:rPr>
          <w:rFonts w:ascii="宋体" w:hAnsi="宋体" w:eastAsia="宋体"/>
          <w:b w:val="0"/>
          <w:color w:val="000000"/>
          <w:sz w:val="28"/>
        </w:rPr>
        <w:t>编制单位：赣州市中医院</w:t>
      </w:r>
    </w:p>
    <w:p w14:paraId="09CC351E">
      <w:pPr>
        <w:spacing w:after="120"/>
        <w:jc w:val="center"/>
      </w:pPr>
      <w:r>
        <w:rPr>
          <w:rFonts w:ascii="宋体" w:hAnsi="宋体" w:eastAsia="宋体"/>
          <w:b w:val="0"/>
          <w:color w:val="000000"/>
          <w:sz w:val="28"/>
        </w:rPr>
        <w:t>二〇二六年七月</w:t>
      </w:r>
    </w:p>
    <w:p w14:paraId="68AC450B">
      <w:r>
        <w:br w:type="page"/>
      </w:r>
    </w:p>
    <w:p w14:paraId="44ABE7AE">
      <w:pPr>
        <w:spacing w:before="240" w:after="120" w:line="360" w:lineRule="auto"/>
      </w:pPr>
      <w:r>
        <w:rPr>
          <w:rFonts w:ascii="黑体" w:hAnsi="黑体" w:eastAsia="黑体"/>
          <w:b/>
          <w:color w:val="000000"/>
          <w:sz w:val="32"/>
        </w:rPr>
        <w:t>一、项目背景</w:t>
      </w:r>
    </w:p>
    <w:p w14:paraId="2EAEB615">
      <w:pPr>
        <w:spacing w:before="0" w:after="0" w:line="360" w:lineRule="auto"/>
        <w:ind w:firstLine="482"/>
      </w:pPr>
      <w:r>
        <w:rPr>
          <w:rFonts w:ascii="宋体" w:hAnsi="宋体" w:eastAsia="宋体"/>
          <w:b w:val="0"/>
          <w:color w:val="000000"/>
          <w:sz w:val="24"/>
        </w:rPr>
        <w:t>为加快推进"实施中医适宜技术惠民项目，实现基层中医服务全覆盖"民生实事落地见效，持续提升基层中医药服务能力，根据《赣州市卫生健康委员会关于举办2026年中医适宜技术惠民项目骨干培训班的通知》（赣市卫健中医药字〔2026〕10号）要求，经研究决定，由赣州市中医院承办2026年中医适宜技术惠民项目骨干线上培训班。为规范培训服务采购工作，确保培训质量和资金使用效益，特制定本采购参数。</w:t>
      </w:r>
    </w:p>
    <w:p w14:paraId="1554BBA5">
      <w:pPr>
        <w:spacing w:before="240" w:after="120" w:line="360" w:lineRule="auto"/>
      </w:pPr>
      <w:r>
        <w:rPr>
          <w:rFonts w:ascii="黑体" w:hAnsi="黑体" w:eastAsia="黑体"/>
          <w:b/>
          <w:color w:val="000000"/>
          <w:sz w:val="32"/>
        </w:rPr>
        <w:t>二、项目目标</w:t>
      </w:r>
    </w:p>
    <w:p w14:paraId="3B63AE74">
      <w:pPr>
        <w:spacing w:before="0" w:after="0" w:line="360" w:lineRule="auto"/>
        <w:ind w:firstLine="482"/>
      </w:pPr>
      <w:r>
        <w:rPr>
          <w:rFonts w:ascii="宋体" w:hAnsi="宋体" w:eastAsia="宋体"/>
          <w:b w:val="0"/>
          <w:color w:val="000000"/>
          <w:sz w:val="24"/>
        </w:rPr>
        <w:t>通过本次线上培训，在全市各乡镇卫生院、社区卫生服务中心中培养一批能够熟练掌握中医药基础理论、基本知识和基本技能，较好地运用针灸、推拿、罐疗、刮痧、灸法、穴位贴敷等中医适宜技术防治常见病、多发病的基层中医药骨干人才，为我市中医药惠民项目持续深入实施提供有力的人才支撑。</w:t>
      </w:r>
    </w:p>
    <w:p w14:paraId="1BF9EF45">
      <w:pPr>
        <w:spacing w:before="240" w:after="120" w:line="360" w:lineRule="auto"/>
      </w:pPr>
      <w:r>
        <w:rPr>
          <w:rFonts w:ascii="黑体" w:hAnsi="黑体" w:eastAsia="黑体"/>
          <w:b/>
          <w:color w:val="000000"/>
          <w:sz w:val="32"/>
        </w:rPr>
        <w:t>三、培训对象与规模</w:t>
      </w:r>
    </w:p>
    <w:p w14:paraId="5A004726">
      <w:pPr>
        <w:spacing w:before="120" w:after="60" w:line="360" w:lineRule="auto"/>
      </w:pPr>
      <w:r>
        <w:rPr>
          <w:rFonts w:ascii="黑体" w:hAnsi="黑体" w:eastAsia="黑体"/>
          <w:b/>
          <w:color w:val="000000"/>
          <w:sz w:val="24"/>
        </w:rPr>
        <w:t>（一）培训对象</w:t>
      </w:r>
    </w:p>
    <w:p w14:paraId="47D1E91A">
      <w:pPr>
        <w:spacing w:before="0" w:after="0" w:line="360" w:lineRule="auto"/>
        <w:ind w:firstLine="482"/>
      </w:pPr>
      <w:r>
        <w:rPr>
          <w:rFonts w:ascii="宋体" w:hAnsi="宋体" w:eastAsia="宋体"/>
          <w:b w:val="0"/>
          <w:color w:val="000000"/>
          <w:sz w:val="24"/>
        </w:rPr>
        <w:t>全市各乡镇卫生院、社区卫生服务中心中，具备一定中医理论和实操基础，从事中医药服务或全科医学、护理工作的业务骨干。每个基层医疗机构原则上至少选派1人参训。</w:t>
      </w:r>
    </w:p>
    <w:p w14:paraId="0858A744">
      <w:pPr>
        <w:spacing w:before="120" w:after="60" w:line="360" w:lineRule="auto"/>
      </w:pPr>
      <w:r>
        <w:rPr>
          <w:rFonts w:ascii="黑体" w:hAnsi="黑体" w:eastAsia="黑体"/>
          <w:b/>
          <w:color w:val="000000"/>
          <w:sz w:val="24"/>
        </w:rPr>
        <w:t>（二）培训人数与结构</w:t>
      </w:r>
    </w:p>
    <w:p w14:paraId="73DDC39B">
      <w:pPr>
        <w:spacing w:before="0" w:after="0" w:line="360" w:lineRule="auto"/>
        <w:ind w:firstLine="482"/>
      </w:pPr>
      <w:r>
        <w:rPr>
          <w:rFonts w:ascii="宋体" w:hAnsi="宋体" w:eastAsia="宋体"/>
          <w:b w:val="0"/>
          <w:color w:val="000000"/>
          <w:sz w:val="24"/>
        </w:rPr>
        <w:t>本次培训总人数200人，为医疗骨干专场。</w:t>
      </w:r>
    </w:p>
    <w:p w14:paraId="48C281F8">
      <w:pPr>
        <w:spacing w:before="240" w:after="120" w:line="360" w:lineRule="auto"/>
      </w:pPr>
      <w:r>
        <w:rPr>
          <w:rFonts w:ascii="黑体" w:hAnsi="黑体" w:eastAsia="黑体"/>
          <w:b/>
          <w:color w:val="000000"/>
          <w:sz w:val="32"/>
        </w:rPr>
        <w:t>四、培训内容</w:t>
      </w:r>
    </w:p>
    <w:p w14:paraId="16C80E8F">
      <w:pPr>
        <w:spacing w:before="120" w:after="60" w:line="360" w:lineRule="auto"/>
      </w:pPr>
      <w:r>
        <w:rPr>
          <w:rFonts w:ascii="黑体" w:hAnsi="黑体" w:eastAsia="黑体"/>
          <w:b/>
          <w:color w:val="000000"/>
          <w:sz w:val="24"/>
        </w:rPr>
        <w:t>（一）线上理论内容（</w:t>
      </w:r>
      <w:r>
        <w:rPr>
          <w:rFonts w:hint="eastAsia" w:ascii="黑体" w:hAnsi="黑体" w:eastAsia="黑体"/>
          <w:b/>
          <w:color w:val="000000"/>
          <w:sz w:val="24"/>
          <w:lang w:val="en-US" w:eastAsia="zh-CN"/>
        </w:rPr>
        <w:t>不少于</w:t>
      </w:r>
      <w:r>
        <w:rPr>
          <w:rFonts w:ascii="黑体" w:hAnsi="黑体" w:eastAsia="黑体"/>
          <w:b/>
          <w:color w:val="000000"/>
          <w:sz w:val="24"/>
        </w:rPr>
        <w:t>100学时）</w:t>
      </w:r>
    </w:p>
    <w:p w14:paraId="407A4850">
      <w:pPr>
        <w:spacing w:before="0" w:after="0" w:line="360" w:lineRule="auto"/>
        <w:ind w:left="482" w:firstLine="283"/>
      </w:pPr>
      <w:r>
        <w:rPr>
          <w:rFonts w:ascii="宋体" w:hAnsi="宋体" w:eastAsia="宋体"/>
          <w:b w:val="0"/>
          <w:color w:val="000000"/>
          <w:sz w:val="24"/>
        </w:rPr>
        <w:t>● 中医药基础理论：阴阳五行、脏腑经络、病因病机、诊法辨证等中医基础核心知识。</w:t>
      </w:r>
    </w:p>
    <w:p w14:paraId="0D4BF78E">
      <w:pPr>
        <w:spacing w:before="0" w:after="0" w:line="360" w:lineRule="auto"/>
        <w:ind w:left="482" w:firstLine="283"/>
      </w:pPr>
      <w:r>
        <w:rPr>
          <w:rFonts w:ascii="宋体" w:hAnsi="宋体" w:eastAsia="宋体"/>
          <w:b w:val="0"/>
          <w:color w:val="000000"/>
          <w:sz w:val="24"/>
        </w:rPr>
        <w:t>● 适宜技术通用理论：常用中医适宜技术的适应证、禁忌证、风险防控、医院感染防控、应急处置等通用知识。</w:t>
      </w:r>
    </w:p>
    <w:p w14:paraId="6576FF12">
      <w:pPr>
        <w:spacing w:before="0" w:after="0" w:line="360" w:lineRule="auto"/>
        <w:ind w:left="482" w:firstLine="283"/>
      </w:pPr>
      <w:r>
        <w:rPr>
          <w:rFonts w:ascii="宋体" w:hAnsi="宋体" w:eastAsia="宋体"/>
          <w:b w:val="0"/>
          <w:color w:val="000000"/>
          <w:sz w:val="24"/>
        </w:rPr>
        <w:t>● 分专业专项课程：医疗类方向（针灸、推拿、罐法、刮痧、热敏灸、穴位贴敷）。</w:t>
      </w:r>
    </w:p>
    <w:p w14:paraId="29DC9DDB">
      <w:pPr>
        <w:spacing w:before="240" w:after="120" w:line="360" w:lineRule="auto"/>
      </w:pPr>
      <w:r>
        <w:rPr>
          <w:rFonts w:hint="eastAsia" w:ascii="黑体" w:hAnsi="黑体" w:eastAsia="黑体"/>
          <w:b/>
          <w:color w:val="000000"/>
          <w:sz w:val="32"/>
          <w:lang w:val="en-US" w:eastAsia="zh-CN"/>
        </w:rPr>
        <w:t>五</w:t>
      </w:r>
      <w:r>
        <w:rPr>
          <w:rFonts w:ascii="黑体" w:hAnsi="黑体" w:eastAsia="黑体"/>
          <w:b/>
          <w:color w:val="000000"/>
          <w:sz w:val="32"/>
        </w:rPr>
        <w:t>、培训平台（线上）功能要求</w:t>
      </w:r>
    </w:p>
    <w:p w14:paraId="45B7EDC0">
      <w:pPr>
        <w:spacing w:before="120" w:after="60" w:line="360" w:lineRule="auto"/>
      </w:pPr>
      <w:r>
        <w:rPr>
          <w:rFonts w:ascii="黑体" w:hAnsi="黑体" w:eastAsia="黑体"/>
          <w:b/>
          <w:color w:val="000000"/>
          <w:sz w:val="24"/>
        </w:rPr>
        <w:t>（一）在线学习功能</w:t>
      </w:r>
    </w:p>
    <w:p w14:paraId="564A1994">
      <w:pPr>
        <w:spacing w:before="0" w:after="0" w:line="360" w:lineRule="auto"/>
        <w:ind w:left="482" w:firstLine="283"/>
      </w:pPr>
      <w:r>
        <w:rPr>
          <w:rFonts w:ascii="宋体" w:hAnsi="宋体" w:eastAsia="宋体"/>
          <w:b w:val="0"/>
          <w:color w:val="000000"/>
          <w:sz w:val="24"/>
        </w:rPr>
        <w:t>● 支持按课程模块（必修/选修）和学习状态（未完成/已完成）筛选课程进行学习；</w:t>
      </w:r>
    </w:p>
    <w:p w14:paraId="22DF6668">
      <w:pPr>
        <w:spacing w:before="0" w:after="0" w:line="360" w:lineRule="auto"/>
        <w:ind w:left="482" w:firstLine="283"/>
      </w:pPr>
      <w:r>
        <w:rPr>
          <w:rFonts w:ascii="宋体" w:hAnsi="宋体" w:eastAsia="宋体"/>
          <w:b w:val="0"/>
          <w:color w:val="000000"/>
          <w:sz w:val="24"/>
        </w:rPr>
        <w:t>● 每节课程学习完成后具备课程评价、课后作业；</w:t>
      </w:r>
    </w:p>
    <w:p w14:paraId="72A07FAA">
      <w:pPr>
        <w:spacing w:before="0" w:after="0" w:line="360" w:lineRule="auto"/>
        <w:ind w:left="482" w:firstLine="283"/>
      </w:pPr>
      <w:r>
        <w:rPr>
          <w:rFonts w:ascii="宋体" w:hAnsi="宋体" w:eastAsia="宋体"/>
          <w:b w:val="0"/>
          <w:color w:val="000000"/>
          <w:sz w:val="24"/>
        </w:rPr>
        <w:t>● 学习进度实时更新，支持课程学习排行榜展示。</w:t>
      </w:r>
    </w:p>
    <w:p w14:paraId="3AF21660">
      <w:pPr>
        <w:spacing w:before="120" w:after="60" w:line="360" w:lineRule="auto"/>
      </w:pPr>
      <w:r>
        <w:rPr>
          <w:rFonts w:ascii="黑体" w:hAnsi="黑体" w:eastAsia="黑体"/>
          <w:b/>
          <w:color w:val="000000"/>
          <w:sz w:val="24"/>
        </w:rPr>
        <w:t>（二）题库与自测</w:t>
      </w:r>
    </w:p>
    <w:p w14:paraId="4950849A">
      <w:pPr>
        <w:spacing w:before="0" w:after="0" w:line="360" w:lineRule="auto"/>
        <w:ind w:left="482" w:firstLine="283"/>
      </w:pPr>
      <w:r>
        <w:rPr>
          <w:rFonts w:ascii="宋体" w:hAnsi="宋体" w:eastAsia="宋体"/>
          <w:b w:val="0"/>
          <w:color w:val="000000"/>
          <w:sz w:val="24"/>
        </w:rPr>
        <w:t>● 提供符合培训内容要求、不重复的试题库；</w:t>
      </w:r>
    </w:p>
    <w:p w14:paraId="72748CA2">
      <w:pPr>
        <w:spacing w:before="0" w:after="0" w:line="360" w:lineRule="auto"/>
        <w:ind w:left="482" w:firstLine="283"/>
      </w:pPr>
      <w:r>
        <w:rPr>
          <w:rFonts w:ascii="宋体" w:hAnsi="宋体" w:eastAsia="宋体"/>
          <w:b w:val="0"/>
          <w:color w:val="000000"/>
          <w:sz w:val="24"/>
        </w:rPr>
        <w:t>● 支持题库随机组卷、错题自动汇总至"错题集"，学员可再次练习。</w:t>
      </w:r>
    </w:p>
    <w:p w14:paraId="6CC675E0">
      <w:pPr>
        <w:spacing w:before="120" w:after="60" w:line="360" w:lineRule="auto"/>
      </w:pPr>
      <w:r>
        <w:rPr>
          <w:rFonts w:ascii="黑体" w:hAnsi="黑体" w:eastAsia="黑体"/>
          <w:b/>
          <w:color w:val="000000"/>
          <w:sz w:val="24"/>
        </w:rPr>
        <w:t>（三）在线考试</w:t>
      </w:r>
    </w:p>
    <w:p w14:paraId="4EBB2EA9">
      <w:pPr>
        <w:spacing w:before="0" w:after="0" w:line="360" w:lineRule="auto"/>
        <w:ind w:left="482" w:firstLine="283"/>
      </w:pPr>
      <w:r>
        <w:rPr>
          <w:rFonts w:ascii="宋体" w:hAnsi="宋体" w:eastAsia="宋体"/>
          <w:b w:val="0"/>
          <w:color w:val="000000"/>
          <w:sz w:val="24"/>
        </w:rPr>
        <w:t>● 可灵活设置多个科目及阶段性考试，灵活配置题型、题量与分值；</w:t>
      </w:r>
    </w:p>
    <w:p w14:paraId="0959A11C">
      <w:pPr>
        <w:spacing w:before="0" w:after="0" w:line="360" w:lineRule="auto"/>
        <w:ind w:left="482" w:firstLine="283"/>
      </w:pPr>
      <w:r>
        <w:rPr>
          <w:rFonts w:ascii="宋体" w:hAnsi="宋体" w:eastAsia="宋体"/>
          <w:b w:val="0"/>
          <w:color w:val="000000"/>
          <w:sz w:val="24"/>
        </w:rPr>
        <w:t>● 支持智能实时评分，可查看正确答案与解析；</w:t>
      </w:r>
    </w:p>
    <w:p w14:paraId="3C8CB8B6">
      <w:pPr>
        <w:spacing w:before="0" w:after="0" w:line="360" w:lineRule="auto"/>
        <w:ind w:left="482" w:firstLine="283"/>
      </w:pPr>
      <w:r>
        <w:rPr>
          <w:rFonts w:ascii="宋体" w:hAnsi="宋体" w:eastAsia="宋体"/>
          <w:b w:val="0"/>
          <w:color w:val="000000"/>
          <w:sz w:val="24"/>
        </w:rPr>
        <w:t>● 支持考试排行榜展示。</w:t>
      </w:r>
    </w:p>
    <w:p w14:paraId="12452CC8">
      <w:pPr>
        <w:spacing w:before="120" w:after="60" w:line="360" w:lineRule="auto"/>
      </w:pPr>
      <w:r>
        <w:rPr>
          <w:rFonts w:ascii="黑体" w:hAnsi="黑体" w:eastAsia="黑体"/>
          <w:b/>
          <w:color w:val="000000"/>
          <w:sz w:val="24"/>
        </w:rPr>
        <w:t>（四）质控管理</w:t>
      </w:r>
    </w:p>
    <w:p w14:paraId="3CDF5C8A">
      <w:pPr>
        <w:spacing w:before="0" w:after="0" w:line="360" w:lineRule="auto"/>
        <w:ind w:left="482" w:firstLine="283"/>
      </w:pPr>
      <w:r>
        <w:rPr>
          <w:rFonts w:ascii="宋体" w:hAnsi="宋体" w:eastAsia="宋体"/>
          <w:b w:val="0"/>
          <w:color w:val="000000"/>
          <w:sz w:val="24"/>
        </w:rPr>
        <w:t>● 学习和考试过程中通过人脸识别、打卡等技术手段防止代学代考、挂机现象，保证培训质量。</w:t>
      </w:r>
    </w:p>
    <w:p w14:paraId="7A8CDAF9">
      <w:pPr>
        <w:spacing w:before="120" w:after="60" w:line="360" w:lineRule="auto"/>
      </w:pPr>
      <w:r>
        <w:rPr>
          <w:rFonts w:ascii="黑体" w:hAnsi="黑体" w:eastAsia="黑体"/>
          <w:b/>
          <w:color w:val="000000"/>
          <w:sz w:val="24"/>
        </w:rPr>
        <w:t>（五）培训管理与统计</w:t>
      </w:r>
    </w:p>
    <w:p w14:paraId="5D63F018">
      <w:pPr>
        <w:spacing w:before="0" w:after="0" w:line="360" w:lineRule="auto"/>
        <w:ind w:left="482" w:firstLine="283"/>
      </w:pPr>
      <w:r>
        <w:rPr>
          <w:rFonts w:ascii="宋体" w:hAnsi="宋体" w:eastAsia="宋体"/>
          <w:b w:val="0"/>
          <w:color w:val="000000"/>
          <w:sz w:val="24"/>
        </w:rPr>
        <w:t>● 支持分配管理账号，可实时查询每位学员每节课的完成情况；</w:t>
      </w:r>
    </w:p>
    <w:p w14:paraId="0BC7704C">
      <w:pPr>
        <w:spacing w:before="0" w:after="0" w:line="360" w:lineRule="auto"/>
        <w:ind w:left="482" w:firstLine="283"/>
      </w:pPr>
      <w:r>
        <w:rPr>
          <w:rFonts w:ascii="宋体" w:hAnsi="宋体" w:eastAsia="宋体"/>
          <w:b w:val="0"/>
          <w:color w:val="000000"/>
          <w:sz w:val="24"/>
        </w:rPr>
        <w:t>● 支持统计已完成/学习中/未学习的人数及占比、学习进度百分比、学习参与率百分比；</w:t>
      </w:r>
    </w:p>
    <w:p w14:paraId="35694825">
      <w:pPr>
        <w:spacing w:before="0" w:after="0" w:line="360" w:lineRule="auto"/>
        <w:ind w:left="482" w:firstLine="283"/>
      </w:pPr>
      <w:r>
        <w:rPr>
          <w:rFonts w:ascii="宋体" w:hAnsi="宋体" w:eastAsia="宋体"/>
          <w:b w:val="0"/>
          <w:color w:val="000000"/>
          <w:sz w:val="24"/>
        </w:rPr>
        <w:t>● 支持考试成绩、考试时间、答题用时、错题、参与率、合格率、平均分等多维度统计分析。</w:t>
      </w:r>
    </w:p>
    <w:p w14:paraId="127B2FA6">
      <w:pPr>
        <w:spacing w:before="240" w:after="120" w:line="360" w:lineRule="auto"/>
      </w:pPr>
      <w:r>
        <w:rPr>
          <w:rFonts w:hint="eastAsia" w:ascii="黑体" w:hAnsi="黑体" w:eastAsia="黑体"/>
          <w:b/>
          <w:color w:val="000000"/>
          <w:sz w:val="32"/>
          <w:lang w:val="en-US" w:eastAsia="zh-CN"/>
        </w:rPr>
        <w:t>六</w:t>
      </w:r>
      <w:r>
        <w:rPr>
          <w:rFonts w:ascii="黑体" w:hAnsi="黑体" w:eastAsia="黑体"/>
          <w:b/>
          <w:color w:val="000000"/>
          <w:sz w:val="32"/>
        </w:rPr>
        <w:t>、平台技术参数要求</w:t>
      </w:r>
    </w:p>
    <w:p w14:paraId="052E4D9D">
      <w:pPr>
        <w:spacing w:before="120" w:after="60" w:line="360" w:lineRule="auto"/>
      </w:pPr>
      <w:r>
        <w:rPr>
          <w:rFonts w:ascii="黑体" w:hAnsi="黑体" w:eastAsia="黑体"/>
          <w:b/>
          <w:color w:val="000000"/>
          <w:sz w:val="24"/>
        </w:rPr>
        <w:t>（一）平台支撑能力</w:t>
      </w:r>
    </w:p>
    <w:p w14:paraId="0E54A25C">
      <w:pPr>
        <w:spacing w:before="0" w:after="0" w:line="360" w:lineRule="auto"/>
        <w:ind w:firstLine="482"/>
      </w:pPr>
      <w:r>
        <w:rPr>
          <w:rFonts w:ascii="宋体" w:hAnsi="宋体" w:eastAsia="宋体"/>
          <w:b w:val="0"/>
          <w:color w:val="000000"/>
          <w:sz w:val="24"/>
        </w:rPr>
        <w:t>需支持多个应用系统的服务请求响应，能同时响应多个外部系统的多个反馈消息；满足并发事件响应能力，杜绝消息阻塞、提高事务处理效率；保证至少5000人同时登录、在线观看视频等教学资源流畅、不卡顿。</w:t>
      </w:r>
    </w:p>
    <w:p w14:paraId="504CBED3">
      <w:pPr>
        <w:spacing w:before="120" w:after="60" w:line="360" w:lineRule="auto"/>
      </w:pPr>
      <w:r>
        <w:rPr>
          <w:rFonts w:ascii="黑体" w:hAnsi="黑体" w:eastAsia="黑体"/>
          <w:b/>
          <w:color w:val="000000"/>
          <w:sz w:val="24"/>
        </w:rPr>
        <w:t>（二）平台性能指标</w:t>
      </w:r>
    </w:p>
    <w:p w14:paraId="35AFEFA7">
      <w:pPr>
        <w:spacing w:before="0" w:after="0" w:line="360" w:lineRule="auto"/>
        <w:ind w:left="482" w:firstLine="283"/>
      </w:pPr>
      <w:r>
        <w:rPr>
          <w:rFonts w:ascii="宋体" w:hAnsi="宋体" w:eastAsia="宋体"/>
          <w:b w:val="0"/>
          <w:color w:val="000000"/>
          <w:sz w:val="24"/>
        </w:rPr>
        <w:t>● 桌面应用响应时间 ≤ 3秒；</w:t>
      </w:r>
    </w:p>
    <w:p w14:paraId="59E93283">
      <w:pPr>
        <w:spacing w:before="0" w:after="0" w:line="360" w:lineRule="auto"/>
        <w:ind w:left="482" w:firstLine="283"/>
      </w:pPr>
      <w:r>
        <w:rPr>
          <w:rFonts w:ascii="宋体" w:hAnsi="宋体" w:eastAsia="宋体"/>
          <w:b w:val="0"/>
          <w:color w:val="000000"/>
          <w:sz w:val="24"/>
        </w:rPr>
        <w:t>● WEB应用响应时间 ≤ 3秒；</w:t>
      </w:r>
    </w:p>
    <w:p w14:paraId="0AD52084">
      <w:pPr>
        <w:spacing w:before="0" w:after="0" w:line="360" w:lineRule="auto"/>
        <w:ind w:left="482" w:firstLine="283"/>
      </w:pPr>
      <w:r>
        <w:rPr>
          <w:rFonts w:ascii="宋体" w:hAnsi="宋体" w:eastAsia="宋体"/>
          <w:b w:val="0"/>
          <w:color w:val="000000"/>
          <w:sz w:val="24"/>
        </w:rPr>
        <w:t>● 统计类等非业务界面响应时间 ≤ 8秒；</w:t>
      </w:r>
    </w:p>
    <w:p w14:paraId="36B3BFE1">
      <w:pPr>
        <w:spacing w:before="0" w:after="0" w:line="360" w:lineRule="auto"/>
        <w:ind w:left="482" w:firstLine="283"/>
      </w:pPr>
      <w:r>
        <w:rPr>
          <w:rFonts w:ascii="宋体" w:hAnsi="宋体" w:eastAsia="宋体"/>
          <w:b w:val="0"/>
          <w:color w:val="000000"/>
          <w:sz w:val="24"/>
        </w:rPr>
        <w:t>● 数据上传延时 ≤ 10秒；</w:t>
      </w:r>
    </w:p>
    <w:p w14:paraId="196BA43B">
      <w:pPr>
        <w:spacing w:before="0" w:after="0" w:line="360" w:lineRule="auto"/>
        <w:ind w:left="482" w:firstLine="283"/>
      </w:pPr>
      <w:r>
        <w:rPr>
          <w:rFonts w:ascii="宋体" w:hAnsi="宋体" w:eastAsia="宋体"/>
          <w:b w:val="0"/>
          <w:color w:val="000000"/>
          <w:sz w:val="24"/>
        </w:rPr>
        <w:t>● 实时调取外部系统数据，结果呈现响应时间 ≤ 3秒（因外部超时应作相应处理）；</w:t>
      </w:r>
    </w:p>
    <w:p w14:paraId="616F9CC9">
      <w:pPr>
        <w:spacing w:before="0" w:after="0" w:line="360" w:lineRule="auto"/>
        <w:ind w:left="482" w:firstLine="283"/>
      </w:pPr>
      <w:r>
        <w:rPr>
          <w:rFonts w:ascii="宋体" w:hAnsi="宋体" w:eastAsia="宋体"/>
          <w:b w:val="0"/>
          <w:color w:val="000000"/>
          <w:sz w:val="24"/>
        </w:rPr>
        <w:t>● 各系统至平台的数据上传率 ≥ 99%；</w:t>
      </w:r>
    </w:p>
    <w:p w14:paraId="518CA43E">
      <w:pPr>
        <w:spacing w:before="0" w:after="0" w:line="360" w:lineRule="auto"/>
        <w:ind w:left="482" w:firstLine="283"/>
      </w:pPr>
      <w:r>
        <w:rPr>
          <w:rFonts w:ascii="宋体" w:hAnsi="宋体" w:eastAsia="宋体"/>
          <w:b w:val="0"/>
          <w:color w:val="000000"/>
          <w:sz w:val="24"/>
        </w:rPr>
        <w:t>● 各系统至平台的数据上传速率 ≥ 500KB/s；</w:t>
      </w:r>
    </w:p>
    <w:p w14:paraId="0F0F6300">
      <w:pPr>
        <w:spacing w:before="0" w:after="0" w:line="360" w:lineRule="auto"/>
        <w:ind w:left="482" w:firstLine="283"/>
      </w:pPr>
      <w:r>
        <w:rPr>
          <w:rFonts w:ascii="宋体" w:hAnsi="宋体" w:eastAsia="宋体"/>
          <w:b w:val="0"/>
          <w:color w:val="000000"/>
          <w:sz w:val="24"/>
        </w:rPr>
        <w:t>● 系统支持数据处理的并发量 ≥ 600个；</w:t>
      </w:r>
    </w:p>
    <w:p w14:paraId="37121201">
      <w:pPr>
        <w:spacing w:before="0" w:after="0" w:line="360" w:lineRule="auto"/>
        <w:ind w:left="482" w:firstLine="283"/>
      </w:pPr>
      <w:r>
        <w:rPr>
          <w:rFonts w:ascii="宋体" w:hAnsi="宋体" w:eastAsia="宋体"/>
          <w:b w:val="0"/>
          <w:color w:val="000000"/>
          <w:sz w:val="24"/>
        </w:rPr>
        <w:t>● 系统中断时间 ≤ 5秒。</w:t>
      </w:r>
    </w:p>
    <w:p w14:paraId="64A739AD">
      <w:pPr>
        <w:spacing w:before="120" w:after="60" w:line="360" w:lineRule="auto"/>
      </w:pPr>
      <w:r>
        <w:rPr>
          <w:rFonts w:ascii="黑体" w:hAnsi="黑体" w:eastAsia="黑体"/>
          <w:b/>
          <w:color w:val="000000"/>
          <w:sz w:val="24"/>
        </w:rPr>
        <w:t>（三）可靠性</w:t>
      </w:r>
    </w:p>
    <w:p w14:paraId="0B1CBEB1">
      <w:pPr>
        <w:spacing w:before="0" w:after="0" w:line="360" w:lineRule="auto"/>
        <w:ind w:firstLine="482"/>
      </w:pPr>
      <w:r>
        <w:rPr>
          <w:rFonts w:ascii="宋体" w:hAnsi="宋体" w:eastAsia="宋体"/>
          <w:b w:val="0"/>
          <w:color w:val="000000"/>
          <w:sz w:val="24"/>
        </w:rPr>
        <w:t>平均故障间隔时间（MTBF）不小于1000小时；系统中断时间 &lt; 24小时/年。</w:t>
      </w:r>
    </w:p>
    <w:p w14:paraId="0223AB11">
      <w:pPr>
        <w:spacing w:before="120" w:after="60" w:line="360" w:lineRule="auto"/>
      </w:pPr>
      <w:r>
        <w:rPr>
          <w:rFonts w:ascii="黑体" w:hAnsi="黑体" w:eastAsia="黑体"/>
          <w:b/>
          <w:color w:val="000000"/>
          <w:sz w:val="24"/>
        </w:rPr>
        <w:t>（四）可扩展性</w:t>
      </w:r>
    </w:p>
    <w:p w14:paraId="52C8B234">
      <w:pPr>
        <w:spacing w:before="0" w:after="0" w:line="360" w:lineRule="auto"/>
        <w:ind w:firstLine="482"/>
      </w:pPr>
      <w:r>
        <w:rPr>
          <w:rFonts w:ascii="宋体" w:hAnsi="宋体" w:eastAsia="宋体"/>
          <w:b w:val="0"/>
          <w:color w:val="000000"/>
          <w:sz w:val="24"/>
        </w:rPr>
        <w:t>系统需按照目前行业先进技术构建系统架构，为后续功能扩展提供支撑。</w:t>
      </w:r>
    </w:p>
    <w:p w14:paraId="177DF90E">
      <w:pPr>
        <w:spacing w:before="120" w:after="60" w:line="360" w:lineRule="auto"/>
      </w:pPr>
      <w:r>
        <w:rPr>
          <w:rFonts w:ascii="黑体" w:hAnsi="黑体" w:eastAsia="黑体"/>
          <w:b/>
          <w:color w:val="000000"/>
          <w:sz w:val="24"/>
        </w:rPr>
        <w:t>（五）更新优化</w:t>
      </w:r>
    </w:p>
    <w:p w14:paraId="5113182A">
      <w:pPr>
        <w:spacing w:before="0" w:after="0" w:line="360" w:lineRule="auto"/>
        <w:ind w:firstLine="482"/>
      </w:pPr>
      <w:r>
        <w:rPr>
          <w:rFonts w:ascii="宋体" w:hAnsi="宋体" w:eastAsia="宋体"/>
          <w:b w:val="0"/>
          <w:color w:val="000000"/>
          <w:sz w:val="24"/>
        </w:rPr>
        <w:t>中标方在平台建设和运维过程中须结合本市中医适宜技术培训实际需求，对系统进行持续优化和调整，确保平台性能指标始终满足本项目要求。</w:t>
      </w:r>
    </w:p>
    <w:p w14:paraId="5DAE91B4">
      <w:pPr>
        <w:spacing w:before="120" w:after="60" w:line="360" w:lineRule="auto"/>
      </w:pPr>
      <w:r>
        <w:rPr>
          <w:rFonts w:ascii="黑体" w:hAnsi="黑体" w:eastAsia="黑体"/>
          <w:b/>
          <w:color w:val="000000"/>
          <w:sz w:val="24"/>
        </w:rPr>
        <w:t>（六）兼容性</w:t>
      </w:r>
    </w:p>
    <w:p w14:paraId="4689D20C">
      <w:pPr>
        <w:spacing w:before="0" w:after="0" w:line="360" w:lineRule="auto"/>
        <w:ind w:firstLine="482"/>
      </w:pPr>
      <w:r>
        <w:rPr>
          <w:rFonts w:ascii="宋体" w:hAnsi="宋体" w:eastAsia="宋体"/>
          <w:b w:val="0"/>
          <w:color w:val="000000"/>
          <w:sz w:val="24"/>
        </w:rPr>
        <w:t>客户端支持Win7、Win8、Win10等32/64位系统、Linux、MacOS；采用类AJAX技术提供流畅浏览体验；浏览器兼容谷歌、火狐、360等主流浏览器。移动端支持iOS、Android等。平台须满足管理平台 &gt; 6000注册用户、同时在线人数 &gt; 5000人，并保障在线观看视频课程流畅。</w:t>
      </w:r>
    </w:p>
    <w:p w14:paraId="012F0528">
      <w:pPr>
        <w:spacing w:before="120" w:after="60" w:line="360" w:lineRule="auto"/>
      </w:pPr>
      <w:r>
        <w:rPr>
          <w:rFonts w:ascii="黑体" w:hAnsi="黑体" w:eastAsia="黑体"/>
          <w:b/>
          <w:color w:val="000000"/>
          <w:sz w:val="24"/>
        </w:rPr>
        <w:t>（七）端口接入</w:t>
      </w:r>
    </w:p>
    <w:p w14:paraId="294EE5AC">
      <w:pPr>
        <w:spacing w:before="0" w:after="0" w:line="360" w:lineRule="auto"/>
        <w:ind w:firstLine="482"/>
      </w:pPr>
      <w:r>
        <w:rPr>
          <w:rFonts w:ascii="宋体" w:hAnsi="宋体" w:eastAsia="宋体"/>
          <w:b w:val="0"/>
          <w:color w:val="000000"/>
          <w:sz w:val="24"/>
        </w:rPr>
        <w:t>平台须同时支持PC端、手机端在线学习和考试，并保证数据同步。</w:t>
      </w:r>
    </w:p>
    <w:p w14:paraId="1553746A">
      <w:pPr>
        <w:spacing w:before="240" w:after="120" w:line="360" w:lineRule="auto"/>
      </w:pPr>
      <w:r>
        <w:rPr>
          <w:rFonts w:hint="eastAsia" w:ascii="黑体" w:hAnsi="黑体" w:eastAsia="黑体"/>
          <w:b/>
          <w:color w:val="000000"/>
          <w:sz w:val="32"/>
          <w:lang w:val="en-US" w:eastAsia="zh-CN"/>
        </w:rPr>
        <w:t>七</w:t>
      </w:r>
      <w:r>
        <w:rPr>
          <w:rFonts w:ascii="黑体" w:hAnsi="黑体" w:eastAsia="黑体"/>
          <w:b/>
          <w:color w:val="000000"/>
          <w:sz w:val="32"/>
        </w:rPr>
        <w:t>、服务要求</w:t>
      </w:r>
      <w:bookmarkStart w:id="0" w:name="_GoBack"/>
      <w:bookmarkEnd w:id="0"/>
    </w:p>
    <w:p w14:paraId="25D917E1">
      <w:pPr>
        <w:spacing w:before="120" w:after="60" w:line="360" w:lineRule="auto"/>
      </w:pPr>
      <w:r>
        <w:rPr>
          <w:rFonts w:ascii="黑体" w:hAnsi="黑体" w:eastAsia="黑体"/>
          <w:b/>
          <w:color w:val="000000"/>
          <w:sz w:val="24"/>
        </w:rPr>
        <w:t>（一）服务团队</w:t>
      </w:r>
    </w:p>
    <w:p w14:paraId="0C690FC5">
      <w:pPr>
        <w:spacing w:before="0" w:after="0" w:line="360" w:lineRule="auto"/>
        <w:ind w:firstLine="482"/>
      </w:pPr>
      <w:r>
        <w:rPr>
          <w:rFonts w:ascii="宋体" w:hAnsi="宋体" w:eastAsia="宋体"/>
          <w:b w:val="0"/>
          <w:color w:val="000000"/>
          <w:sz w:val="24"/>
        </w:rPr>
        <w:t>成交供应商须组建专业服务团队，包括但不限于：项目管理、医学编辑、技术研发、网络运维、医学督导、专属客服等专业服务人员。在系统软件使用过程如出现故障：15分钟内电话响应，30分钟内电话或视频指导解决；电话或视频无法解决时，48小时内到达现场解决故障。</w:t>
      </w:r>
    </w:p>
    <w:p w14:paraId="18DA6AE9">
      <w:pPr>
        <w:spacing w:before="120" w:after="60" w:line="360" w:lineRule="auto"/>
      </w:pPr>
      <w:r>
        <w:rPr>
          <w:rFonts w:ascii="黑体" w:hAnsi="黑体" w:eastAsia="黑体"/>
          <w:b/>
          <w:color w:val="000000"/>
          <w:sz w:val="24"/>
        </w:rPr>
        <w:t>（二）学员管理与考核</w:t>
      </w:r>
    </w:p>
    <w:p w14:paraId="5966E6AC">
      <w:pPr>
        <w:spacing w:before="0" w:after="0" w:line="360" w:lineRule="auto"/>
        <w:ind w:left="482" w:firstLine="283"/>
      </w:pPr>
      <w:r>
        <w:rPr>
          <w:rFonts w:ascii="宋体" w:hAnsi="宋体" w:eastAsia="宋体"/>
          <w:b w:val="0"/>
          <w:color w:val="000000"/>
          <w:sz w:val="24"/>
        </w:rPr>
        <w:t>● 建立学员档案，记录学员学习进度、考勤情况、考核成绩等；</w:t>
      </w:r>
    </w:p>
    <w:p w14:paraId="66019783">
      <w:pPr>
        <w:spacing w:before="0" w:after="0" w:line="360" w:lineRule="auto"/>
        <w:ind w:left="482" w:firstLine="283"/>
        <w:rPr>
          <w:color w:val="auto"/>
        </w:rPr>
      </w:pPr>
      <w:r>
        <w:rPr>
          <w:rFonts w:ascii="宋体" w:hAnsi="宋体" w:eastAsia="宋体"/>
          <w:b w:val="0"/>
          <w:color w:val="000000"/>
          <w:sz w:val="24"/>
        </w:rPr>
        <w:t>● 学员须同时满足以下条件方可颁发合格证书：①线上100学时修满且线</w:t>
      </w:r>
      <w:r>
        <w:rPr>
          <w:rFonts w:ascii="宋体" w:hAnsi="宋体" w:eastAsia="宋体"/>
          <w:b w:val="0"/>
          <w:color w:val="auto"/>
          <w:sz w:val="24"/>
        </w:rPr>
        <w:t>上考核合格；</w:t>
      </w:r>
    </w:p>
    <w:p w14:paraId="1C1D142A">
      <w:pPr>
        <w:spacing w:before="0" w:after="0" w:line="360" w:lineRule="auto"/>
        <w:ind w:left="482" w:firstLine="283"/>
        <w:rPr>
          <w:rFonts w:hint="eastAsia" w:eastAsia="宋体"/>
          <w:color w:val="auto"/>
          <w:lang w:eastAsia="zh-CN"/>
        </w:rPr>
      </w:pPr>
      <w:r>
        <w:rPr>
          <w:rFonts w:ascii="宋体" w:hAnsi="宋体" w:eastAsia="宋体"/>
          <w:b w:val="0"/>
          <w:color w:val="auto"/>
          <w:sz w:val="24"/>
        </w:rPr>
        <w:t>● 考核合格者颁发《赣州市中医适宜技术骨干培训合格证书》</w:t>
      </w:r>
      <w:r>
        <w:rPr>
          <w:rFonts w:hint="eastAsia"/>
          <w:b w:val="0"/>
          <w:color w:val="auto"/>
          <w:sz w:val="24"/>
          <w:lang w:eastAsia="zh-CN"/>
        </w:rPr>
        <w:t>。</w:t>
      </w:r>
    </w:p>
    <w:p w14:paraId="6B88155C">
      <w:pPr>
        <w:spacing w:before="240" w:after="120" w:line="360" w:lineRule="auto"/>
      </w:pPr>
      <w:r>
        <w:rPr>
          <w:rFonts w:hint="eastAsia" w:ascii="黑体" w:hAnsi="黑体" w:eastAsia="黑体"/>
          <w:b/>
          <w:color w:val="000000"/>
          <w:sz w:val="32"/>
          <w:lang w:val="en-US" w:eastAsia="zh-CN"/>
        </w:rPr>
        <w:t>八</w:t>
      </w:r>
      <w:r>
        <w:rPr>
          <w:rFonts w:ascii="黑体" w:hAnsi="黑体" w:eastAsia="黑体"/>
          <w:b/>
          <w:color w:val="000000"/>
          <w:sz w:val="32"/>
        </w:rPr>
        <w:t>、特别说明</w:t>
      </w:r>
    </w:p>
    <w:p w14:paraId="28532CF0">
      <w:pPr>
        <w:spacing w:before="0" w:after="0" w:line="360" w:lineRule="auto"/>
        <w:ind w:firstLine="482"/>
      </w:pPr>
      <w:r>
        <w:rPr>
          <w:rFonts w:ascii="宋体" w:hAnsi="宋体" w:eastAsia="宋体"/>
          <w:b w:val="0"/>
          <w:color w:val="000000"/>
          <w:sz w:val="24"/>
        </w:rPr>
        <w:t>本采购参数中所有服务需求条款，供应商必须完全响应，否则视为无效响应。本采购参数最终解释权归赣州市中医院所有。</w:t>
      </w:r>
    </w:p>
    <w:sectPr>
      <w:footerReference r:id="rId5" w:type="default"/>
      <w:pgSz w:w="12240" w:h="15840"/>
      <w:pgMar w:top="1440" w:right="1803" w:bottom="1440" w:left="1803" w:header="850" w:footer="992"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C25D71-4967-45F5-B528-EAC3B9E9AF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2" w:fontKey="{3EFB4558-8AC6-40DE-86E6-C796AC9869EB}"/>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embedRegular r:id="rId3" w:fontKey="{0D2189C8-B9D0-49E1-B527-146DA1A64E92}"/>
  </w:font>
  <w:font w:name="Segoe Print">
    <w:panose1 w:val="02000600000000000000"/>
    <w:charset w:val="00"/>
    <w:family w:val="auto"/>
    <w:pitch w:val="default"/>
    <w:sig w:usb0="0000028F" w:usb1="00000000" w:usb2="00000000" w:usb3="00000000" w:csb0="2000009F" w:csb1="47010000"/>
  </w:font>
  <w:font w:name="方正小标宋简体">
    <w:panose1 w:val="02010600010101010101"/>
    <w:charset w:val="86"/>
    <w:family w:val="auto"/>
    <w:pitch w:val="default"/>
    <w:sig w:usb0="00000001" w:usb1="080E0000" w:usb2="00000000" w:usb3="00000000" w:csb0="00040000" w:csb1="00000000"/>
    <w:embedRegular r:id="rId4" w:fontKey="{E29AEB3F-9892-49A8-9854-03A8A08EF7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A13E9">
    <w:pPr>
      <w:pStyle w:val="24"/>
      <w:jc w:val="center"/>
    </w:pPr>
    <w:r>
      <w:rPr>
        <w:rFonts w:ascii="宋体" w:hAnsi="宋体" w:eastAsia="宋体"/>
        <w:b w:val="0"/>
        <w:color w:val="000000"/>
        <w:sz w:val="18"/>
      </w:rPr>
      <w:t xml:space="preserve">第 </w:t>
    </w:r>
    <w:r>
      <w:rPr>
        <w:rFonts w:ascii="宋体" w:hAnsi="宋体" w:eastAsia="宋体"/>
        <w:b w:val="0"/>
        <w:color w:val="000000"/>
        <w:sz w:val="18"/>
      </w:rPr>
      <w:fldChar w:fldCharType="begin"/>
    </w:r>
    <w:r>
      <w:rPr>
        <w:rFonts w:ascii="宋体" w:hAnsi="宋体" w:eastAsia="宋体"/>
        <w:b w:val="0"/>
        <w:color w:val="000000"/>
        <w:sz w:val="18"/>
      </w:rPr>
      <w:instrText xml:space="preserve">PAGE</w:instrText>
    </w:r>
    <w:r>
      <w:rPr>
        <w:rFonts w:ascii="宋体" w:hAnsi="宋体" w:eastAsia="宋体"/>
        <w:b w:val="0"/>
        <w:color w:val="000000"/>
        <w:sz w:val="18"/>
      </w:rPr>
      <w:fldChar w:fldCharType="end"/>
    </w:r>
    <w:r>
      <w:rPr>
        <w:rFonts w:ascii="宋体" w:hAnsi="宋体" w:eastAsia="宋体"/>
        <w:b w:val="0"/>
        <w:color w:val="000000"/>
        <w:sz w:val="18"/>
      </w:rPr>
      <w:t xml:space="preserve"> 页 / 共 </w:t>
    </w:r>
    <w:r>
      <w:rPr>
        <w:rFonts w:ascii="宋体" w:hAnsi="宋体" w:eastAsia="宋体"/>
        <w:b w:val="0"/>
        <w:color w:val="000000"/>
        <w:sz w:val="18"/>
      </w:rPr>
      <w:fldChar w:fldCharType="begin"/>
    </w:r>
    <w:r>
      <w:rPr>
        <w:rFonts w:ascii="宋体" w:hAnsi="宋体" w:eastAsia="宋体"/>
        <w:b w:val="0"/>
        <w:color w:val="000000"/>
        <w:sz w:val="18"/>
      </w:rPr>
      <w:instrText xml:space="preserve">NUMPAGES</w:instrText>
    </w:r>
    <w:r>
      <w:rPr>
        <w:rFonts w:ascii="宋体" w:hAnsi="宋体" w:eastAsia="宋体"/>
        <w:b w:val="0"/>
        <w:color w:val="000000"/>
        <w:sz w:val="18"/>
      </w:rPr>
      <w:fldChar w:fldCharType="end"/>
    </w:r>
    <w:r>
      <w:rPr>
        <w:rFonts w:ascii="宋体" w:hAnsi="宋体" w:eastAsia="宋体"/>
        <w:b w:val="0"/>
        <w:color w:val="000000"/>
        <w:sz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6617B2E"/>
    <w:rsid w:val="0B68436A"/>
    <w:rsid w:val="1AA062E0"/>
    <w:rsid w:val="35535966"/>
    <w:rsid w:val="39B02656"/>
    <w:rsid w:val="60DF40BC"/>
    <w:rsid w:val="67F8441E"/>
    <w:rsid w:val="763C5C96"/>
    <w:rsid w:val="7D67499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0" w:line="360" w:lineRule="auto"/>
    </w:pPr>
    <w:rPr>
      <w:rFonts w:ascii="宋体" w:hAnsi="宋体" w:eastAsia="宋体" w:cstheme="minorBidi"/>
      <w:color w:val="000000"/>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2884</Words>
  <Characters>2980</Characters>
  <Lines>0</Lines>
  <Paragraphs>0</Paragraphs>
  <TotalTime>14</TotalTime>
  <ScaleCrop>false</ScaleCrop>
  <LinksUpToDate>false</LinksUpToDate>
  <CharactersWithSpaces>3043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小晴空。</cp:lastModifiedBy>
  <dcterms:modified xsi:type="dcterms:W3CDTF">2026-07-22T09:26:05Z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eyJoZGlkIjoiY2ZmZDgxMWYzYzdhZGQ4NjNhMGFkYmVkM2FmYTcyZjMiLCJ1c2VySWQiOiIyMzU2NDQwMDgifQ==</vt:lpwstr>
  </property>
  <property fmtid="{D5CDD505-2E9C-101B-9397-08002B2CF9AE}" pid="3" name="KSOProductBuildVer">
    <vt:lpwstr>2052-12.1.0.26895</vt:lpwstr>
  </property>
  <property fmtid="{D5CDD505-2E9C-101B-9397-08002B2CF9AE}" pid="4" name="ICV">
    <vt:lpwstr>E028B7ED550840B5B2B1D7C113ABC0CC_12</vt:lpwstr>
  </property>
</Properties>
</file>