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附件1：</w:t>
      </w:r>
    </w:p>
    <w:p>
      <w:pPr>
        <w:spacing w:line="52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  <w:lang w:eastAsia="zh-CN"/>
        </w:rPr>
        <w:t>赣州市中医院</w:t>
      </w:r>
      <w:r>
        <w:rPr>
          <w:rFonts w:hint="eastAsia" w:ascii="仿宋" w:hAnsi="仿宋" w:eastAsia="仿宋" w:cs="Times New Roman"/>
          <w:b/>
          <w:sz w:val="36"/>
          <w:szCs w:val="36"/>
        </w:rPr>
        <w:t>医用耗材遴选</w:t>
      </w:r>
      <w:r>
        <w:rPr>
          <w:rFonts w:hint="eastAsia" w:ascii="仿宋" w:hAnsi="仿宋" w:eastAsia="仿宋"/>
          <w:b/>
          <w:sz w:val="36"/>
          <w:szCs w:val="36"/>
        </w:rPr>
        <w:t>评分表</w:t>
      </w:r>
    </w:p>
    <w:tbl>
      <w:tblPr>
        <w:tblStyle w:val="4"/>
        <w:tblW w:w="15489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055"/>
        <w:gridCol w:w="716"/>
        <w:gridCol w:w="2104"/>
        <w:gridCol w:w="2355"/>
        <w:gridCol w:w="2025"/>
        <w:gridCol w:w="1995"/>
        <w:gridCol w:w="1425"/>
        <w:gridCol w:w="1291"/>
        <w:gridCol w:w="1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产品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序号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及名称规格：</w:t>
            </w:r>
          </w:p>
        </w:tc>
        <w:tc>
          <w:tcPr>
            <w:tcW w:w="574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报名企业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遴选结果</w:t>
            </w:r>
          </w:p>
        </w:tc>
        <w:tc>
          <w:tcPr>
            <w:tcW w:w="64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471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一、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价格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4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二、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配送企业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服务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lang w:eastAsia="zh-CN"/>
              </w:rPr>
              <w:t>能力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4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三、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其他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高低排序得分，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最低者得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分，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第二40分，第三35分，依次递减。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2、低于我院原供应价者，每低5个百分点加3分，最多加15分（以信封报价为准）。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1、本地有仓库，可保障3个月储备量，得5分（以提交资料为准）；</w:t>
            </w:r>
          </w:p>
          <w:p>
            <w:pPr>
              <w:spacing w:line="28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2、能保障医院紧急供应得5分（以提交资料为准）；</w:t>
            </w:r>
          </w:p>
          <w:p>
            <w:pPr>
              <w:spacing w:line="280" w:lineRule="exact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3、有专职人员配送，不通过快递方式送货得5分。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配送企业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</w:rPr>
              <w:t>在本市三甲医院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每家得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</w:rPr>
              <w:t>分；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</w:rPr>
              <w:t>分封顶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以提交资料为准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）。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2、能对近效、滞销耗材进行退换货服务得5分（以承诺书为准）。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</w:rPr>
              <w:t>产品在本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</w:rPr>
              <w:t>三甲医院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占用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</w:rPr>
              <w:t>率，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每家得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</w:rPr>
              <w:t>分；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</w:rPr>
              <w:t>分封顶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以提交资料为准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）。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产品功能及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</w:rPr>
              <w:t>规格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eastAsia="zh-CN"/>
              </w:rPr>
              <w:t>齐全，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（以产品注册证或说明书为准）。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产品中标并在江西省医保目录内得3分，未中标或不在江西省医保目录内得0分。（以医保科、药械科审核为准）。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产品属于国家集采产品得3分。（以药械科审核为准）。</w:t>
            </w: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签名： </w:t>
      </w:r>
    </w:p>
    <w:p>
      <w:pPr>
        <w:spacing w:line="4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hint="eastAsia" w:ascii="仿宋" w:hAnsi="仿宋" w:eastAsia="仿宋"/>
          <w:sz w:val="28"/>
          <w:szCs w:val="28"/>
        </w:rPr>
        <w:sectPr>
          <w:pgSz w:w="16838" w:h="11906" w:orient="landscape"/>
          <w:pgMar w:top="850" w:right="1800" w:bottom="1134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 xml:space="preserve">时间：       </w:t>
      </w:r>
    </w:p>
    <w:p>
      <w:pPr>
        <w:spacing w:line="44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800" w:right="1134" w:bottom="180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TI3ZmVmZmI4N2EzM2NjMjk4MDYwNzlmNjExYTYifQ=="/>
  </w:docVars>
  <w:rsids>
    <w:rsidRoot w:val="73804233"/>
    <w:rsid w:val="36987B67"/>
    <w:rsid w:val="3C812E4B"/>
    <w:rsid w:val="66AF75D3"/>
    <w:rsid w:val="738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583</Characters>
  <Lines>0</Lines>
  <Paragraphs>0</Paragraphs>
  <TotalTime>4</TotalTime>
  <ScaleCrop>false</ScaleCrop>
  <LinksUpToDate>false</LinksUpToDate>
  <CharactersWithSpaces>618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2022-10-26T00:45:00Z</dcterms:created>
  <dc:creator>xin</dc:creator>
  <cp:lastModifiedBy>凤凤</cp:lastModifiedBy>
  <dcterms:modified xsi:type="dcterms:W3CDTF">2022-10-26T02:13:58Z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1E0C226F7A6540229C730F21E1BDFB96</vt:lpwstr>
  </property>
</Properties>
</file>