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312" w:beforeLines="100" w:after="312" w:afterLines="100" w:line="240" w:lineRule="auto"/>
        <w:jc w:val="center"/>
        <w:rPr>
          <w:kern w:val="0"/>
          <w:sz w:val="36"/>
          <w:szCs w:val="36"/>
          <w:highlight w:val="none"/>
        </w:rPr>
      </w:pPr>
      <w:bookmarkStart w:id="0" w:name="_Toc14771"/>
      <w:r>
        <w:rPr>
          <w:kern w:val="0"/>
          <w:sz w:val="36"/>
          <w:szCs w:val="36"/>
          <w:highlight w:val="none"/>
        </w:rPr>
        <w:t>三、采购项目</w:t>
      </w:r>
      <w:r>
        <w:rPr>
          <w:rFonts w:hint="eastAsia"/>
          <w:kern w:val="0"/>
          <w:sz w:val="36"/>
          <w:szCs w:val="36"/>
          <w:highlight w:val="none"/>
        </w:rPr>
        <w:t>需</w:t>
      </w:r>
      <w:r>
        <w:rPr>
          <w:kern w:val="0"/>
          <w:sz w:val="36"/>
          <w:szCs w:val="36"/>
          <w:highlight w:val="none"/>
        </w:rPr>
        <w:t>求</w:t>
      </w:r>
      <w:bookmarkEnd w:id="0"/>
    </w:p>
    <w:p>
      <w:pPr>
        <w:widowControl/>
        <w:spacing w:line="520" w:lineRule="exact"/>
        <w:ind w:firstLine="560" w:firstLineChars="200"/>
        <w:jc w:val="left"/>
        <w:rPr>
          <w:rFonts w:hint="eastAsia"/>
          <w:bCs/>
          <w:kern w:val="0"/>
          <w:sz w:val="28"/>
          <w:szCs w:val="28"/>
          <w:highlight w:val="none"/>
        </w:rPr>
      </w:pPr>
      <w:bookmarkStart w:id="1" w:name="OLE_LINK3"/>
      <w:r>
        <w:rPr>
          <w:rFonts w:hint="eastAsia"/>
          <w:bCs/>
          <w:kern w:val="0"/>
          <w:sz w:val="28"/>
          <w:szCs w:val="28"/>
          <w:highlight w:val="none"/>
        </w:rPr>
        <w:t>（一）</w:t>
      </w:r>
      <w:bookmarkEnd w:id="1"/>
      <w:r>
        <w:rPr>
          <w:rFonts w:hint="eastAsia"/>
          <w:bCs/>
          <w:kern w:val="0"/>
          <w:sz w:val="28"/>
          <w:szCs w:val="28"/>
          <w:highlight w:val="none"/>
        </w:rPr>
        <w:t>响应供应商须提供符合质量合格标准的</w:t>
      </w:r>
      <w:r>
        <w:rPr>
          <w:rFonts w:hint="eastAsia"/>
          <w:bCs/>
          <w:kern w:val="0"/>
          <w:sz w:val="28"/>
          <w:szCs w:val="28"/>
          <w:highlight w:val="none"/>
          <w:lang w:eastAsia="zh-CN"/>
        </w:rPr>
        <w:t>货物及</w:t>
      </w:r>
      <w:r>
        <w:rPr>
          <w:rFonts w:hint="eastAsia"/>
          <w:bCs/>
          <w:kern w:val="0"/>
          <w:sz w:val="28"/>
          <w:szCs w:val="28"/>
          <w:highlight w:val="none"/>
        </w:rPr>
        <w:t>服务。</w:t>
      </w:r>
    </w:p>
    <w:p>
      <w:pPr>
        <w:widowControl/>
        <w:spacing w:line="520" w:lineRule="exact"/>
        <w:ind w:firstLine="560" w:firstLineChars="200"/>
        <w:jc w:val="left"/>
        <w:rPr>
          <w:rFonts w:hint="eastAsia"/>
          <w:bCs/>
          <w:kern w:val="0"/>
          <w:sz w:val="28"/>
          <w:szCs w:val="28"/>
          <w:highlight w:val="none"/>
        </w:rPr>
      </w:pPr>
      <w:r>
        <w:rPr>
          <w:rFonts w:hint="eastAsia"/>
          <w:bCs/>
          <w:kern w:val="0"/>
          <w:sz w:val="28"/>
          <w:szCs w:val="28"/>
          <w:highlight w:val="none"/>
        </w:rPr>
        <w:t>（二）所投</w:t>
      </w:r>
      <w:r>
        <w:rPr>
          <w:rFonts w:hint="eastAsia"/>
          <w:bCs/>
          <w:kern w:val="0"/>
          <w:sz w:val="28"/>
          <w:szCs w:val="28"/>
          <w:highlight w:val="none"/>
          <w:lang w:eastAsia="zh-CN"/>
        </w:rPr>
        <w:t>服务</w:t>
      </w:r>
      <w:r>
        <w:rPr>
          <w:rFonts w:hint="eastAsia"/>
          <w:bCs/>
          <w:kern w:val="0"/>
          <w:sz w:val="28"/>
          <w:szCs w:val="28"/>
          <w:highlight w:val="none"/>
        </w:rPr>
        <w:t>的知识产权问题，由各响应供应商自行负责。</w:t>
      </w:r>
    </w:p>
    <w:p>
      <w:pPr>
        <w:widowControl/>
        <w:spacing w:line="520" w:lineRule="exact"/>
        <w:ind w:firstLine="560" w:firstLineChars="200"/>
        <w:jc w:val="left"/>
        <w:rPr>
          <w:rFonts w:hint="eastAsia"/>
          <w:bCs/>
          <w:kern w:val="0"/>
          <w:sz w:val="28"/>
          <w:szCs w:val="28"/>
          <w:highlight w:val="none"/>
        </w:rPr>
      </w:pPr>
      <w:r>
        <w:rPr>
          <w:rFonts w:hint="eastAsia"/>
          <w:bCs/>
          <w:kern w:val="0"/>
          <w:sz w:val="28"/>
          <w:szCs w:val="28"/>
          <w:highlight w:val="none"/>
        </w:rPr>
        <w:t>（三）本</w:t>
      </w:r>
      <w:r>
        <w:rPr>
          <w:rFonts w:hint="eastAsia"/>
          <w:bCs/>
          <w:kern w:val="0"/>
          <w:sz w:val="28"/>
          <w:szCs w:val="28"/>
          <w:highlight w:val="none"/>
          <w:lang w:eastAsia="zh-CN"/>
        </w:rPr>
        <w:t>磋商</w:t>
      </w:r>
      <w:r>
        <w:rPr>
          <w:rFonts w:hint="eastAsia"/>
          <w:bCs/>
          <w:kern w:val="0"/>
          <w:sz w:val="28"/>
          <w:szCs w:val="28"/>
          <w:highlight w:val="none"/>
        </w:rPr>
        <w:t>文件提出的是最低限度的要求，响应供应商的方案应达到或优于本</w:t>
      </w:r>
      <w:r>
        <w:rPr>
          <w:rFonts w:hint="eastAsia"/>
          <w:bCs/>
          <w:kern w:val="0"/>
          <w:sz w:val="28"/>
          <w:szCs w:val="28"/>
          <w:highlight w:val="none"/>
          <w:lang w:eastAsia="zh-CN"/>
        </w:rPr>
        <w:t>磋商</w:t>
      </w:r>
      <w:r>
        <w:rPr>
          <w:rFonts w:hint="eastAsia"/>
          <w:bCs/>
          <w:kern w:val="0"/>
          <w:sz w:val="28"/>
          <w:szCs w:val="28"/>
          <w:highlight w:val="none"/>
        </w:rPr>
        <w:t>文件要求，且符合国家有关标准和规范要求。</w:t>
      </w:r>
    </w:p>
    <w:p>
      <w:pPr>
        <w:pStyle w:val="12"/>
        <w:spacing w:line="460" w:lineRule="exact"/>
        <w:ind w:left="412" w:leftChars="196"/>
        <w:rPr>
          <w:rFonts w:hint="eastAsia" w:ascii="宋体" w:hAnsi="宋体"/>
          <w:b/>
          <w:bCs w:val="0"/>
          <w:color w:val="auto"/>
          <w:sz w:val="28"/>
          <w:szCs w:val="28"/>
          <w:highlight w:val="none"/>
        </w:rPr>
      </w:pPr>
      <w:r>
        <w:rPr>
          <w:rFonts w:hint="eastAsia"/>
          <w:b/>
          <w:bCs w:val="0"/>
          <w:color w:val="auto"/>
          <w:kern w:val="0"/>
          <w:sz w:val="28"/>
          <w:szCs w:val="28"/>
          <w:highlight w:val="none"/>
        </w:rPr>
        <w:t>（四）</w:t>
      </w:r>
      <w:r>
        <w:rPr>
          <w:rFonts w:hint="eastAsia" w:ascii="宋体" w:hAnsi="宋体"/>
          <w:b/>
          <w:bCs w:val="0"/>
          <w:color w:val="auto"/>
          <w:sz w:val="28"/>
          <w:szCs w:val="28"/>
          <w:highlight w:val="none"/>
        </w:rPr>
        <w:t>采购内容：</w:t>
      </w:r>
    </w:p>
    <w:p>
      <w:pPr>
        <w:widowControl/>
        <w:spacing w:line="520" w:lineRule="exact"/>
        <w:ind w:firstLine="560" w:firstLineChars="200"/>
        <w:jc w:val="left"/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  <w:t xml:space="preserve">1、服务期为1年，服务项目为本地化服务，应体现专业、及时、高效原则，以达到医院提升管理品质和降低医院管理成本的目的。 </w:t>
      </w:r>
    </w:p>
    <w:p>
      <w:pPr>
        <w:widowControl/>
        <w:spacing w:line="520" w:lineRule="exact"/>
        <w:ind w:firstLine="560" w:firstLineChars="200"/>
        <w:jc w:val="left"/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  <w:t>2、服务范围：（1）外包服务设备品牌：电脑（联想、戴尔），打印机（爱普生、惠普、佳能、得实、兄弟），复印机（夏普、理光），（2）赣州市中医院医院的全部电脑电脑、打印、复印机、扫描枪、读卡器等设备维护、保养及消耗材料的供应。（3）系统软件安装、升级：WIN7、XP、windows10 等系统，使用软件安装及维护；Office 系列、杀毒软件、应用软件等，各类硬件驱动程序安装与升级；各类显卡、声卡、打印机等；（4）安排专业服务人员定点服务确保医院信息中心无人员参与的情况下，设备正常运转，且能顺应医院管理，同时有充足的常用备件库和应急方案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  <w:t>3、供应商应具备专业的设备维修维护技术能力，响应供应商必须具备相应产品的售后服务资质认证，同时有充足的常用备件库和应急方案。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  <w:t>4、采购人要求的原装耗材产品，成交供应商投标时必须提供原厂授权销售商资质作为原装正品佐证，并确保所供产品按照要求供货，如因供应非正品导致的损失，必须承担全部责任，并负相关法律责任【响应供应商在响应文件中须提供承诺函（承诺函格式自拟）】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  <w:t>5、国产硒鼓产品必须质量可靠，且是环保产品。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  <w:t>6、如涉及目录外的配件、耗材费、维修等不得高于同期市场价（其他服务单位有相同配件的，则提供其他服务单位配件的供货清单价格，其他服务单位无相同配件，则提供电子卖场、淘宝、京东价格作为参考价格，采购不得高于参考价格）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  <w:t xml:space="preserve">7、接到相关服务请求,及时到达现场，正常上班时间 30 分钟内到达现场。如有不具备现场维修条件；故障现场 2 小时内无法解决；经采购人同意方可外修，同时要有同档次备机替换使用。所有外修设备，2 个工作日内回复维修情况，需要返厂外修的 30 天内维修完成，并提供备用设备，其他的 7 天内维修完成。 </w:t>
      </w:r>
    </w:p>
    <w:p>
      <w:pPr>
        <w:widowControl/>
        <w:spacing w:line="520" w:lineRule="exact"/>
        <w:ind w:firstLine="560" w:firstLineChars="200"/>
        <w:jc w:val="left"/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  <w:t xml:space="preserve">8、维修的物品要保证半年内无再次损坏（人为原因除外）。在半年之内如因材料或工艺原因导致的损坏需无条件返修至合格。 </w:t>
      </w:r>
    </w:p>
    <w:p>
      <w:pPr>
        <w:widowControl/>
        <w:spacing w:line="520" w:lineRule="exact"/>
        <w:ind w:firstLine="560" w:firstLineChars="200"/>
        <w:jc w:val="left"/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  <w:t>9、采购设备及更换的耗材必须是质保期（有效期）之内，每次安装、维修完成必须贴上封标并注明更换、维修时间，以便单位备查。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  <w:t xml:space="preserve">10、定点服务要求：要求提供 7*24 小时定点服务（含节假日），日常工作时间之外安排人员值班。 </w:t>
      </w:r>
    </w:p>
    <w:p>
      <w:pPr>
        <w:widowControl/>
        <w:spacing w:line="520" w:lineRule="exact"/>
        <w:ind w:firstLine="560" w:firstLineChars="200"/>
        <w:jc w:val="left"/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  <w:t xml:space="preserve">11、服务质量承诺：工作人员要求态度和蔼，服务热情，响应及时 ，每出现一次投诉按300元违约金向采购人进行赔偿，在合同期内遭到 5 次投拆，院方有权无条件中止合同。 </w:t>
      </w:r>
    </w:p>
    <w:p>
      <w:pPr>
        <w:widowControl/>
        <w:spacing w:line="520" w:lineRule="exact"/>
        <w:ind w:firstLine="560" w:firstLineChars="200"/>
        <w:jc w:val="left"/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  <w:t xml:space="preserve">12、费用结算按实际工作使用数量计量、中标清单价格计价。 </w:t>
      </w:r>
    </w:p>
    <w:p>
      <w:pPr>
        <w:widowControl/>
        <w:spacing w:line="520" w:lineRule="exact"/>
        <w:ind w:firstLine="560" w:firstLineChars="200"/>
        <w:jc w:val="left"/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pStyle w:val="2"/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rPr>
          <w:rFonts w:hint="eastAsia" w:eastAsia="宋体"/>
          <w:bCs/>
          <w:kern w:val="0"/>
          <w:sz w:val="28"/>
          <w:szCs w:val="28"/>
          <w:highlight w:val="none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sz w:val="32"/>
          <w:szCs w:val="32"/>
          <w:highlight w:val="none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134" w:right="1134" w:bottom="1134" w:left="1134" w:header="850" w:footer="992" w:gutter="0"/>
          <w:cols w:space="720" w:num="1"/>
          <w:titlePg/>
          <w:rtlGutter w:val="0"/>
          <w:docGrid w:linePitch="312" w:charSpace="0"/>
        </w:sectPr>
      </w:pPr>
    </w:p>
    <w:p>
      <w:pPr>
        <w:pStyle w:val="2"/>
        <w:rPr>
          <w:rFonts w:hint="eastAsia" w:ascii="宋体" w:hAnsi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highlight w:val="none"/>
          <w:lang w:val="en-US" w:eastAsia="zh-CN"/>
        </w:rPr>
        <w:t>* 附件：</w:t>
      </w:r>
    </w:p>
    <w:p>
      <w:pPr>
        <w:rPr>
          <w:rFonts w:hint="eastAsia" w:ascii="宋体" w:hAnsi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highlight w:val="none"/>
          <w:lang w:val="en-US" w:eastAsia="zh-CN"/>
        </w:rPr>
        <w:t>赣州市中医院信息办公耗材和信息办公设备维保项目采购清单</w:t>
      </w:r>
    </w:p>
    <w:tbl>
      <w:tblPr>
        <w:tblStyle w:val="8"/>
        <w:tblW w:w="1457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1"/>
        <w:gridCol w:w="2189"/>
        <w:gridCol w:w="986"/>
        <w:gridCol w:w="986"/>
        <w:gridCol w:w="2677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99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189" w:type="dxa"/>
            <w:tcBorders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品牌</w:t>
            </w:r>
          </w:p>
        </w:tc>
        <w:tc>
          <w:tcPr>
            <w:tcW w:w="986" w:type="dxa"/>
            <w:tcBorders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986" w:type="dxa"/>
            <w:tcBorders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本院在用采购价格</w:t>
            </w:r>
          </w:p>
        </w:tc>
        <w:tc>
          <w:tcPr>
            <w:tcW w:w="174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招标控制价（最低价）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8585" w:type="dxa"/>
          <w:trHeight w:val="375" w:hRule="atLeast"/>
        </w:trPr>
        <w:tc>
          <w:tcPr>
            <w:tcW w:w="5991" w:type="dxa"/>
            <w:tcBorders>
              <w:top w:val="nil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9"/>
                <w:highlight w:val="none"/>
                <w:lang w:val="en-US" w:eastAsia="zh-CN" w:bidi="ar"/>
              </w:rPr>
              <w:t xml:space="preserve">电脑配件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长城台式机电源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长城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一进二出分频器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显示器电源高压板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根据机型而定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通用网卡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天球主板电池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天球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双屏显示器支架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鼠标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联想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42.75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绿联40461HDMI1.5米数据线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绿联30304 USB百兆网卡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联想台式机主板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联想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联想1TB台式机硬盘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联想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节能430电源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联想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分线器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分频器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电源线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VGA转HDMI带UBS供电转换器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VGA 1分2 分频器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USB公对公线AA线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USB 网卡免驱版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USB HUB线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HDMI延长器50米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520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HDMI线 25米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DP转HDMI1080p线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键盘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联想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42.75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HDMI转VGA适配器黑色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HDMI高清线 20米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4口HUB 3.0白色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91" w:type="dxa"/>
            <w:tcBorders>
              <w:top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打印机耗材配件</w:t>
            </w:r>
          </w:p>
        </w:tc>
        <w:tc>
          <w:tcPr>
            <w:tcW w:w="218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夏普NROLR0156QSZZ/原下辊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夏普NROLI0187QSZZ/1818/2048上辊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夏普CHLDZ2155DS51主充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夏普AR271/2608/2048/2658(0011)原刮板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夏普4821D原装大粉盒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夏普237原装鼓芯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夏普2348D原装大粉盒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夏普2048/237原装载体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袋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夏普2008D粉盒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速粘铜版纸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蓝鸟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卷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天威三星1610/70g碳粉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天威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天威TN2325粉盒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天威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天威2612A/303硒鼓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天威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99.75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色带芯LQ1600K/LQ300K色带芯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大正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5.7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色带芯/Q630K/Q650K/1131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大正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 3米打印线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联想LJ6500/5500碳粉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科思特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联想/兄弟/2020/2822碳粉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科思特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33.25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理光-SP200/210/221芯片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科思特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理光330碳粉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科思特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柯美TN223K黑色原装大粉盒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柯美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430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柯美TN223K彩色原装大粉盒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柯美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530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柯美DR216原装套鼓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柯美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佳能原装815黑色墨盒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佳能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佳能CRG337硒鼓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佳能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佳能6780原装墨盒（彩色）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佳能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佳能6780原装墨盒（黑色）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佳能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佳能2900齿轮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佳能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佳能223/337鼓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佳能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惠普打印机搓纸轮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惠普805原装彩色墨盒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电机齿轮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得实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得实字车支座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得实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得实80D-8原装色带架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得实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打印机搓纸轮和分页器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根据机型而定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爱普生T8651原装黑墨盒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爱普生T7741(101/201)原装黑色墨水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爱普生LQ670K/680K色带架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爱普生EPLFC13T05U480原装彩色墨盒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爱普生EPLFC13T05U180原装黑色墨盒(4838)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爱普生251原装墨盒(1030)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爱普生/136K(790色带芯）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 T188原装墨盒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 T1882原装青墨盒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USB转串口9针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TSC244PRO碳带轴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TSC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TSC244PRO碳带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TSC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m101字车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HPHP388A硒鼓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科思特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99.75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HPHP Q2612A（黑）硒鼓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科思特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99.75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HP88A/78A/35A/36A碳粉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科思特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33.25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HP803原装黑墨盒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HP803原装彩色墨盒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142.5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HP505A/280硒鼓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HP278A硒鼓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HP277彩色硒鼓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HP277 黑硒鼓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HP2612碳粉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科思特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33.25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HP2612A-303硒鼓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科思特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99.75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HP1025原装青色粉盒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332.5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HP1025原装黄色粉盒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332.5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HP1025原装红色粉盒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332.5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HP1025原装黑色粉盒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332.5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HP-1020压力辊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HP1020高压板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HP1010定影器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232.75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HP1010/1020/1005定影下辊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惠普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EPSON ERC-05色带架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DS300色带架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得实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DR2350原装硒鼓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兄弟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CFRM0154RS51鼓架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京瓷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B531B原装墨水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B531B原装墨盒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888t轴套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斑马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80*80大管芯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斑马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卷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70*60碳带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TSC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卷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70*60M双管碳带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TSC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卷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7.125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690K色带架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大正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5米微思博WS-2104USB打印线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微思博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310/520k色带架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大正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2口USB打印切换器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佳能2900传感器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佳能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发票专用热敏纸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蓝鸟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卷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三星1666碳粉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科思特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三星1666硒鼓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科思特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M101打印头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爱普生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1T移动硬盘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三星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361</w:t>
            </w:r>
          </w:p>
        </w:tc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医疗卡(就诊卡，定制医院图片文字信息)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0.1995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新大陆FR40二维扫描枪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新大陆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香蕉DVD-R光盘（50片一盒）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香蕉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1.9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西数8TB硬盘(企业盘)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西数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2300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2,300.00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西数(WD)1TB移动硬盘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西数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西数(WD)2TB移动硬盘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西数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西数240G固态硬盘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西数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315</w:t>
            </w:r>
          </w:p>
        </w:tc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威刚480g固态硬盘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威刚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图像检测板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夏普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三用网线钳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免驱手写板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大将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金士顿8G/1600内存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金士顿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金士顿64GU盘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金士顿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金士顿4G/1333/1600内存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金士顿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金士顿32GU盘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金士顿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66.5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金士顿16GU盘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金士顿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激光器检测仪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磁条读卡器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浩顺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窗口对讲机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BBT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TP-TR962D单模双纤光纤收发器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TP-LINK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TP-LINL TL-5660四天线千兆无线路由器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TP-LINK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TP-LINKTL-WDR5660四线路由器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TP-LINK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TP-LINK TL-SF1008交换机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TP-LINK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TP-LINK TL-SF1005交换机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TP-LINK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61.75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TP886N三线无线路由器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TP-LINK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TP823/300M无线网卡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TP-LINK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S6200二维码扫描枪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浩顺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H3C S2G 8口千兆交换机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H4C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DVD刻录机/外置光驱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联想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C200二维平台(扫描仪)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浩顺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980手写板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大将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线卡</w:t>
            </w:r>
          </w:p>
        </w:tc>
        <w:tc>
          <w:tcPr>
            <w:tcW w:w="21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2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线槽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四线槽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双面胶（大）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卷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双面胶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卷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双口网络面板 NW144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鼠标垫(25*29)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三线槽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全铜五类网线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箱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630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绿联20311网络直通头mm114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六类网线模块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钢钉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盒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电胶布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电话模块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单口面板 NW144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AMP RJ45 水晶头A+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0.6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9V电池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5*250扎带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包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430G 0.4芯网线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2芯200码全铜电话线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箱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六类网线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绿联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箱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750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91" w:type="dxa"/>
            <w:tcBorders>
              <w:top w:val="nil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综合布线服务</w:t>
            </w:r>
          </w:p>
        </w:tc>
        <w:tc>
          <w:tcPr>
            <w:tcW w:w="2189" w:type="dxa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天/人</w:t>
            </w:r>
          </w:p>
        </w:tc>
        <w:tc>
          <w:tcPr>
            <w:tcW w:w="2677" w:type="dxa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1747" w:type="dxa"/>
            <w:tcBorders>
              <w:top w:val="nil"/>
              <w:lef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300</w:t>
            </w:r>
          </w:p>
        </w:tc>
      </w:tr>
    </w:tbl>
    <w:p>
      <w:pPr>
        <w:pStyle w:val="2"/>
        <w:rPr>
          <w:rFonts w:hint="default"/>
          <w:highlight w:val="none"/>
          <w:lang w:val="en-US" w:eastAsia="zh-CN"/>
        </w:rPr>
        <w:sectPr>
          <w:pgSz w:w="16838" w:h="11905" w:orient="landscape"/>
          <w:pgMar w:top="1134" w:right="1134" w:bottom="1134" w:left="1134" w:header="850" w:footer="992" w:gutter="0"/>
          <w:cols w:space="720" w:num="1"/>
          <w:titlePg/>
          <w:rtlGutter w:val="0"/>
          <w:docGrid w:linePitch="312" w:charSpace="0"/>
        </w:sectPr>
      </w:pPr>
    </w:p>
    <w:p>
      <w:pPr>
        <w:rPr>
          <w:rFonts w:hint="eastAsia"/>
          <w:highlight w:val="none"/>
          <w:lang w:val="en-US" w:eastAsia="zh-CN"/>
        </w:rPr>
      </w:pPr>
    </w:p>
    <w:p>
      <w:pPr>
        <w:pStyle w:val="3"/>
        <w:snapToGrid w:val="0"/>
        <w:spacing w:before="312" w:beforeLines="100" w:after="312" w:afterLines="100" w:line="240" w:lineRule="auto"/>
        <w:jc w:val="center"/>
        <w:rPr>
          <w:rFonts w:hint="eastAsia" w:ascii="黑体" w:hAnsi="黑体" w:eastAsia="黑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</w:pPr>
      <w:bookmarkStart w:id="2" w:name="_Toc15095"/>
      <w:r>
        <w:rPr>
          <w:rFonts w:hint="eastAsia" w:ascii="Times New Roman" w:hAnsi="Times New Roman" w:cs="Times New Roman"/>
          <w:kern w:val="0"/>
          <w:sz w:val="36"/>
          <w:szCs w:val="36"/>
          <w:highlight w:val="none"/>
          <w:lang w:val="en-US" w:eastAsia="zh-CN"/>
        </w:rPr>
        <w:t>商务条款</w:t>
      </w:r>
      <w:bookmarkEnd w:id="2"/>
      <w:r>
        <w:rPr>
          <w:rFonts w:hint="eastAsia" w:ascii="Times New Roman" w:hAnsi="Times New Roman" w:cs="Times New Roman"/>
          <w:kern w:val="0"/>
          <w:sz w:val="36"/>
          <w:szCs w:val="36"/>
          <w:highlight w:val="none"/>
          <w:lang w:val="en-US" w:eastAsia="zh-CN"/>
        </w:rPr>
        <w:t xml:space="preserve">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both"/>
        <w:textAlignment w:val="auto"/>
        <w:rPr>
          <w:rFonts w:hint="default" w:ascii="Calibri" w:hAnsi="Calibri" w:eastAsia="宋体" w:cs="Times New Roman"/>
          <w:b w:val="0"/>
          <w:bCs/>
          <w:kern w:val="2"/>
          <w:sz w:val="28"/>
          <w:szCs w:val="32"/>
          <w:highlight w:val="none"/>
          <w:lang w:val="en-US" w:eastAsia="zh-CN" w:bidi="ar-SA"/>
        </w:rPr>
      </w:pPr>
      <w:bookmarkStart w:id="3" w:name="_Toc31454"/>
      <w:r>
        <w:rPr>
          <w:rFonts w:hint="eastAsia" w:ascii="Calibri" w:hAnsi="Calibri" w:eastAsia="宋体" w:cs="Times New Roman"/>
          <w:b/>
          <w:bCs w:val="0"/>
          <w:kern w:val="2"/>
          <w:sz w:val="28"/>
          <w:szCs w:val="32"/>
          <w:highlight w:val="none"/>
          <w:lang w:val="en-US" w:eastAsia="zh-CN" w:bidi="ar-SA"/>
        </w:rPr>
        <w:t>1、本项目不接受分包以及转包。</w:t>
      </w:r>
      <w:bookmarkEnd w:id="3"/>
      <w:r>
        <w:rPr>
          <w:rFonts w:hint="eastAsia" w:ascii="Calibri" w:hAnsi="Calibri" w:eastAsia="宋体" w:cs="Times New Roman"/>
          <w:b w:val="0"/>
          <w:bCs/>
          <w:kern w:val="2"/>
          <w:sz w:val="28"/>
          <w:szCs w:val="32"/>
          <w:highlight w:val="none"/>
          <w:lang w:val="en-US" w:eastAsia="zh-CN" w:bidi="ar-SA"/>
        </w:rPr>
        <w:t xml:space="preserve">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562" w:firstLineChars="200"/>
        <w:jc w:val="both"/>
        <w:textAlignment w:val="auto"/>
        <w:rPr>
          <w:rFonts w:hint="default" w:ascii="Calibri" w:hAnsi="Calibri" w:eastAsia="宋体" w:cs="Times New Roman"/>
          <w:b/>
          <w:bCs w:val="0"/>
          <w:color w:val="auto"/>
          <w:kern w:val="2"/>
          <w:sz w:val="28"/>
          <w:szCs w:val="32"/>
          <w:highlight w:val="none"/>
          <w:lang w:val="en-US" w:eastAsia="zh-CN" w:bidi="ar-SA"/>
        </w:rPr>
      </w:pPr>
      <w:bookmarkStart w:id="4" w:name="_Toc1666"/>
      <w:r>
        <w:rPr>
          <w:rFonts w:hint="eastAsia" w:ascii="宋体" w:hAnsi="宋体" w:eastAsia="宋体" w:cs="宋体"/>
          <w:b/>
          <w:bCs w:val="0"/>
          <w:color w:val="auto"/>
          <w:sz w:val="28"/>
          <w:szCs w:val="32"/>
          <w:highlight w:val="none"/>
          <w:lang w:val="en-US" w:eastAsia="zh-CN"/>
        </w:rPr>
        <w:t>2、服务地点：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32"/>
          <w:highlight w:val="none"/>
          <w:lang w:val="en-US" w:eastAsia="zh-CN"/>
        </w:rPr>
        <w:t>采购人指定地点。</w:t>
      </w:r>
      <w:bookmarkEnd w:id="4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562" w:firstLineChars="200"/>
        <w:jc w:val="both"/>
        <w:textAlignment w:val="auto"/>
        <w:rPr>
          <w:rFonts w:hint="eastAsia" w:ascii="Calibri" w:hAnsi="Calibri" w:eastAsia="宋体" w:cs="Times New Roman"/>
          <w:b w:val="0"/>
          <w:bCs/>
          <w:color w:val="auto"/>
          <w:kern w:val="2"/>
          <w:sz w:val="28"/>
          <w:szCs w:val="32"/>
          <w:highlight w:val="none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 w:val="0"/>
          <w:color w:val="auto"/>
          <w:kern w:val="2"/>
          <w:sz w:val="28"/>
          <w:szCs w:val="32"/>
          <w:highlight w:val="none"/>
          <w:lang w:val="en-US" w:eastAsia="zh-CN" w:bidi="ar-SA"/>
        </w:rPr>
        <w:t>3、工期：</w:t>
      </w:r>
      <w:r>
        <w:rPr>
          <w:rFonts w:hint="eastAsia" w:ascii="Calibri" w:hAnsi="Calibri" w:eastAsia="宋体" w:cs="Times New Roman"/>
          <w:b w:val="0"/>
          <w:bCs/>
          <w:color w:val="auto"/>
          <w:kern w:val="2"/>
          <w:sz w:val="28"/>
          <w:szCs w:val="32"/>
          <w:highlight w:val="none"/>
          <w:lang w:val="en-US" w:eastAsia="zh-CN" w:bidi="ar-SA"/>
        </w:rPr>
        <w:t>合同签订后，提供为1年期的服务。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562" w:firstLineChars="200"/>
        <w:jc w:val="both"/>
        <w:textAlignment w:val="auto"/>
        <w:rPr>
          <w:rFonts w:hint="eastAsia" w:ascii="Calibri" w:hAnsi="Calibri" w:eastAsia="宋体" w:cs="Times New Roman"/>
          <w:b w:val="0"/>
          <w:bCs/>
          <w:color w:val="auto"/>
          <w:kern w:val="2"/>
          <w:sz w:val="28"/>
          <w:szCs w:val="32"/>
          <w:highlight w:val="none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 w:val="0"/>
          <w:color w:val="auto"/>
          <w:kern w:val="2"/>
          <w:sz w:val="28"/>
          <w:szCs w:val="32"/>
          <w:highlight w:val="none"/>
          <w:lang w:val="en-US" w:eastAsia="zh-CN" w:bidi="ar-SA"/>
        </w:rPr>
        <w:t>4、付款方式：</w:t>
      </w:r>
      <w:r>
        <w:rPr>
          <w:rFonts w:hint="eastAsia" w:ascii="Calibri" w:hAnsi="Calibri" w:eastAsia="宋体" w:cs="Times New Roman"/>
          <w:b w:val="0"/>
          <w:bCs/>
          <w:color w:val="auto"/>
          <w:kern w:val="2"/>
          <w:sz w:val="28"/>
          <w:szCs w:val="32"/>
          <w:highlight w:val="none"/>
          <w:lang w:val="en-US" w:eastAsia="zh-CN" w:bidi="ar-SA"/>
        </w:rPr>
        <w:t>每个月结算一次，成交供应商接到采购人通知后按要求供货、提供服务，且经采购人确认合格后，成交供应商持正规税务发票和结算清单结算货款，不计利息。货款＝预算单价×成交折扣率×实际供货量（服务量）。</w:t>
      </w:r>
    </w:p>
    <w:p>
      <w:pPr>
        <w:rPr>
          <w:color w:val="auto"/>
        </w:rPr>
      </w:pPr>
      <w:bookmarkStart w:id="5" w:name="_GoBack"/>
      <w:bookmarkEnd w:id="5"/>
    </w:p>
    <w:sectPr>
      <w:headerReference r:id="rId7" w:type="default"/>
      <w:footerReference r:id="rId8" w:type="default"/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26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26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26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26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  <w:r>
      <w:rPr>
        <w:rFonts w:hint="eastAsia" w:ascii="宋体" w:hAnsi="宋体" w:eastAsia="宋体" w:cs="宋体"/>
        <w:sz w:val="24"/>
        <w:szCs w:val="24"/>
        <w:lang w:eastAsia="zh-CN"/>
      </w:rPr>
      <w:drawing>
        <wp:inline distT="0" distB="0" distL="114300" distR="114300">
          <wp:extent cx="647065" cy="340360"/>
          <wp:effectExtent l="0" t="0" r="635" b="2540"/>
          <wp:docPr id="2" name="图片 2" descr="中兴豫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兴豫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06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24"/>
        <w:szCs w:val="24"/>
        <w:lang w:eastAsia="zh-CN"/>
      </w:rPr>
      <w:t>中兴豫建设管理有限公司</w:t>
    </w:r>
    <w:r>
      <w:rPr>
        <w:rFonts w:hint="eastAsia" w:ascii="宋体" w:hAnsi="宋体"/>
        <w:sz w:val="22"/>
        <w:szCs w:val="22"/>
      </w:rPr>
      <w:t xml:space="preserve"> </w:t>
    </w:r>
    <w:r>
      <w:rPr>
        <w:rFonts w:hint="eastAsia" w:ascii="宋体" w:hAnsi="宋体"/>
        <w:sz w:val="24"/>
        <w:szCs w:val="24"/>
      </w:rPr>
      <w:t xml:space="preserve"> </w:t>
    </w:r>
    <w:r>
      <w:rPr>
        <w:rFonts w:hint="eastAsia" w:ascii="宋体" w:hAnsi="宋体"/>
        <w:sz w:val="24"/>
        <w:szCs w:val="24"/>
        <w:lang w:val="en-US" w:eastAsia="zh-CN"/>
      </w:rPr>
      <w:t xml:space="preserve">              ZXYZB-2022-173</w:t>
    </w:r>
    <w:r>
      <w:rPr>
        <w:rFonts w:hint="eastAsia" w:ascii="宋体" w:hAnsi="宋体"/>
        <w:sz w:val="24"/>
        <w:szCs w:val="24"/>
        <w:highlight w:val="none"/>
      </w:rPr>
      <w:t xml:space="preserve"> </w:t>
    </w:r>
    <w:r>
      <w:rPr>
        <w:rFonts w:hint="eastAsia" w:ascii="宋体" w:hAnsi="宋体"/>
        <w:sz w:val="24"/>
        <w:szCs w:val="24"/>
      </w:rPr>
      <w:t>竞争性磋商文件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  <w:r>
      <w:rPr>
        <w:rFonts w:hint="eastAsia" w:ascii="宋体" w:hAnsi="宋体" w:eastAsia="宋体" w:cs="宋体"/>
        <w:sz w:val="24"/>
        <w:szCs w:val="24"/>
        <w:lang w:eastAsia="zh-CN"/>
      </w:rPr>
      <w:drawing>
        <wp:inline distT="0" distB="0" distL="114300" distR="114300">
          <wp:extent cx="647065" cy="340360"/>
          <wp:effectExtent l="0" t="0" r="635" b="2540"/>
          <wp:docPr id="4" name="图片 1" descr="中兴豫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中兴豫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06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24"/>
        <w:szCs w:val="24"/>
        <w:lang w:eastAsia="zh-CN"/>
      </w:rPr>
      <w:t>中兴豫建设管理有限公司</w:t>
    </w:r>
    <w:r>
      <w:rPr>
        <w:rFonts w:hint="eastAsia" w:ascii="宋体" w:hAnsi="宋体"/>
        <w:sz w:val="22"/>
        <w:szCs w:val="22"/>
      </w:rPr>
      <w:t xml:space="preserve">  </w:t>
    </w:r>
    <w:r>
      <w:rPr>
        <w:rFonts w:hint="eastAsia" w:ascii="宋体" w:hAnsi="宋体"/>
        <w:sz w:val="24"/>
        <w:szCs w:val="24"/>
      </w:rPr>
      <w:t xml:space="preserve"> </w:t>
    </w:r>
    <w:r>
      <w:rPr>
        <w:rFonts w:hint="eastAsia" w:ascii="宋体" w:hAnsi="宋体"/>
        <w:sz w:val="24"/>
        <w:szCs w:val="24"/>
        <w:lang w:val="en-US" w:eastAsia="zh-CN"/>
      </w:rPr>
      <w:t xml:space="preserve">              ZXYZB-2022-173</w:t>
    </w:r>
    <w:r>
      <w:rPr>
        <w:rFonts w:hint="eastAsia" w:ascii="宋体" w:hAnsi="宋体"/>
        <w:sz w:val="24"/>
        <w:szCs w:val="24"/>
        <w:highlight w:val="none"/>
      </w:rPr>
      <w:t xml:space="preserve"> </w:t>
    </w:r>
    <w:r>
      <w:rPr>
        <w:rFonts w:hint="eastAsia" w:ascii="宋体" w:hAnsi="宋体"/>
        <w:sz w:val="24"/>
        <w:szCs w:val="24"/>
      </w:rPr>
      <w:t>竞争性磋商文件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  <w:r>
      <w:rPr>
        <w:rFonts w:hint="eastAsia" w:ascii="宋体" w:hAnsi="宋体" w:eastAsia="宋体" w:cs="宋体"/>
        <w:sz w:val="24"/>
        <w:szCs w:val="24"/>
        <w:lang w:eastAsia="zh-CN"/>
      </w:rPr>
      <w:drawing>
        <wp:inline distT="0" distB="0" distL="114300" distR="114300">
          <wp:extent cx="647065" cy="340360"/>
          <wp:effectExtent l="0" t="0" r="635" b="2540"/>
          <wp:docPr id="7" name="图片 2" descr="中兴豫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2" descr="中兴豫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06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24"/>
        <w:szCs w:val="24"/>
        <w:lang w:eastAsia="zh-CN"/>
      </w:rPr>
      <w:t>中兴豫建设管理有限公司</w:t>
    </w:r>
    <w:r>
      <w:rPr>
        <w:rFonts w:hint="eastAsia" w:ascii="宋体" w:hAnsi="宋体"/>
        <w:sz w:val="22"/>
        <w:szCs w:val="22"/>
      </w:rPr>
      <w:t xml:space="preserve"> </w:t>
    </w:r>
    <w:r>
      <w:rPr>
        <w:rFonts w:hint="eastAsia" w:ascii="宋体" w:hAnsi="宋体"/>
        <w:sz w:val="24"/>
        <w:szCs w:val="24"/>
      </w:rPr>
      <w:t xml:space="preserve"> </w:t>
    </w:r>
    <w:r>
      <w:rPr>
        <w:rFonts w:hint="eastAsia" w:ascii="宋体" w:hAnsi="宋体"/>
        <w:sz w:val="24"/>
        <w:szCs w:val="24"/>
        <w:lang w:val="en-US" w:eastAsia="zh-CN"/>
      </w:rPr>
      <w:t xml:space="preserve">             ZXYZB-2022-168</w:t>
    </w:r>
    <w:r>
      <w:rPr>
        <w:rFonts w:hint="eastAsia" w:ascii="宋体" w:hAnsi="宋体"/>
        <w:sz w:val="24"/>
        <w:szCs w:val="24"/>
        <w:highlight w:val="none"/>
      </w:rPr>
      <w:t xml:space="preserve"> </w:t>
    </w:r>
    <w:r>
      <w:rPr>
        <w:rFonts w:hint="eastAsia" w:ascii="宋体" w:hAnsi="宋体"/>
        <w:sz w:val="24"/>
        <w:szCs w:val="24"/>
      </w:rPr>
      <w:t>竞争性磋商文件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MWIwOTUyM2Q3NTI4ZDJhZTI5ZTMwY2QyYzBjZGYifQ=="/>
  </w:docVars>
  <w:rsids>
    <w:rsidRoot w:val="00000000"/>
    <w:rsid w:val="04BA2023"/>
    <w:rsid w:val="1A717AC7"/>
    <w:rsid w:val="23DE0FAC"/>
    <w:rsid w:val="263C469E"/>
    <w:rsid w:val="34000F51"/>
    <w:rsid w:val="38E93BA2"/>
    <w:rsid w:val="605113E4"/>
    <w:rsid w:val="68242437"/>
    <w:rsid w:val="7CB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line="360" w:lineRule="auto"/>
    </w:pPr>
    <w:rPr>
      <w:rFonts w:eastAsia="宋体"/>
      <w:sz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spacing w:before="240" w:after="120"/>
      <w:jc w:val="left"/>
    </w:pPr>
    <w:rPr>
      <w:b/>
      <w:bCs/>
      <w:sz w:val="20"/>
      <w:szCs w:val="20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paragraph" w:styleId="1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font51"/>
    <w:basedOn w:val="10"/>
    <w:qFormat/>
    <w:uiPriority w:val="0"/>
    <w:rPr>
      <w:rFonts w:hint="default" w:ascii="Tahoma" w:hAnsi="Tahoma" w:eastAsia="Tahoma" w:cs="Tahoma"/>
      <w:color w:val="000000"/>
      <w:sz w:val="18"/>
      <w:szCs w:val="18"/>
      <w:u w:val="none"/>
    </w:rPr>
  </w:style>
  <w:style w:type="character" w:customStyle="1" w:styleId="14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61"/>
    <w:basedOn w:val="1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6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31"/>
    <w:basedOn w:val="10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19">
    <w:name w:val="font41"/>
    <w:basedOn w:val="10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2244</Words>
  <Characters>2318</Characters>
  <Lines>0</Lines>
  <Paragraphs>0</Paragraphs>
  <TotalTime>0</TotalTime>
  <ScaleCrop>false</ScaleCrop>
  <LinksUpToDate>false</LinksUpToDate>
  <CharactersWithSpaces>2340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2020-12-18T10:58:00Z</dcterms:created>
  <dc:creator>Administrator</dc:creator>
  <cp:lastModifiedBy>333</cp:lastModifiedBy>
  <dcterms:modified xsi:type="dcterms:W3CDTF">2022-08-22T10:26:54Z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06D9453115184AD29884321AD7AB466B</vt:lpwstr>
  </property>
</Properties>
</file>